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 w:rsidRPr="00AE55EF">
        <w:rPr>
          <w:b/>
        </w:rPr>
        <w:t xml:space="preserve">На </w:t>
      </w:r>
      <w:r w:rsidR="0068741A">
        <w:rPr>
          <w:b/>
        </w:rPr>
        <w:t xml:space="preserve">повышенную стипендию 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1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1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9"/>
        <w:gridCol w:w="3126"/>
        <w:gridCol w:w="3126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  <w:r>
              <w:t xml:space="preserve">Предполагаемая дата защиты диссертации </w:t>
            </w:r>
            <w:proofErr w:type="gramStart"/>
            <w:r>
              <w:t xml:space="preserve">( </w:t>
            </w:r>
            <w:proofErr w:type="gramEnd"/>
            <w:r>
              <w:t xml:space="preserve">для аспирантов 4-го года)                                                                  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2) Статьи, опубликованные в научных журналах, индексируемых в РИНЦ и/или входящих в </w:t>
      </w:r>
      <w:proofErr w:type="gramStart"/>
      <w:r w:rsidRPr="0014491F">
        <w:t>текущий</w:t>
      </w:r>
      <w:proofErr w:type="gram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2B6466"/>
    <w:rsid w:val="0068741A"/>
    <w:rsid w:val="00721DDA"/>
    <w:rsid w:val="00726C31"/>
    <w:rsid w:val="00900386"/>
    <w:rsid w:val="00AE55EF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0C46F-19F4-4660-8728-7EFC41061186}"/>
</file>

<file path=customXml/itemProps2.xml><?xml version="1.0" encoding="utf-8"?>
<ds:datastoreItem xmlns:ds="http://schemas.openxmlformats.org/officeDocument/2006/customXml" ds:itemID="{5AE68C94-4C5D-4509-8E03-2FEFC3DB3410}"/>
</file>

<file path=customXml/itemProps3.xml><?xml version="1.0" encoding="utf-8"?>
<ds:datastoreItem xmlns:ds="http://schemas.openxmlformats.org/officeDocument/2006/customXml" ds:itemID="{D21BA27B-34E6-4033-BA7E-04ED9F9A7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СмирновСЕ</dc:creator>
  <cp:lastModifiedBy>Жигулина Екатерина Валериевна</cp:lastModifiedBy>
  <cp:revision>2</cp:revision>
  <dcterms:created xsi:type="dcterms:W3CDTF">2020-09-14T14:53:00Z</dcterms:created>
  <dcterms:modified xsi:type="dcterms:W3CDTF">2020-09-14T14:53:00Z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