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charts/chart2.xml" ContentType="application/vnd.openxmlformats-officedocument.drawingml.chart+xml"/>
  <Override PartName="/word/charts/chart1.xml" ContentType="application/vnd.openxmlformats-officedocument.drawingml.chart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10F" w:rsidRDefault="003F310F" w:rsidP="006429C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НАЦОНАЛЬНЫЙ ИССЛЕДОВАТЕЛЬСКИЙ УНИВЕРСИТЕТ «МЭИ»</w:t>
      </w:r>
    </w:p>
    <w:p w:rsidR="003F310F" w:rsidRDefault="003F310F" w:rsidP="006429C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310F" w:rsidRDefault="003F310F" w:rsidP="006429C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310F" w:rsidRDefault="003F310F" w:rsidP="006429C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310F" w:rsidRDefault="003F310F" w:rsidP="006429C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310F" w:rsidRDefault="003F310F" w:rsidP="006429C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310F" w:rsidRDefault="003F310F" w:rsidP="006429C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310F" w:rsidRDefault="003F310F" w:rsidP="006429C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310F" w:rsidRDefault="003F310F" w:rsidP="006429C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по этапу № 1 в рамках</w:t>
      </w:r>
    </w:p>
    <w:p w:rsidR="003F310F" w:rsidRDefault="003F310F" w:rsidP="006429C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310F">
        <w:rPr>
          <w:rFonts w:ascii="Times New Roman" w:hAnsi="Times New Roman" w:cs="Times New Roman"/>
          <w:sz w:val="24"/>
          <w:szCs w:val="24"/>
        </w:rPr>
        <w:t>Прогноза технологического развития топливно-энергетического комплекса России в контексте мировых трендов</w:t>
      </w:r>
    </w:p>
    <w:p w:rsidR="003F310F" w:rsidRDefault="003F310F" w:rsidP="006429C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310F" w:rsidRDefault="003F310F" w:rsidP="006429C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310F" w:rsidRDefault="003F310F" w:rsidP="006429C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29CA" w:rsidRDefault="006429CA" w:rsidP="006429C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29CA" w:rsidRDefault="006429CA" w:rsidP="006429C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310F" w:rsidRDefault="006429CA" w:rsidP="006429C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3F310F">
        <w:rPr>
          <w:rFonts w:ascii="Times New Roman" w:hAnsi="Times New Roman" w:cs="Times New Roman"/>
          <w:sz w:val="24"/>
          <w:szCs w:val="24"/>
        </w:rPr>
        <w:t>оманда «ПОТЕНЦИАЛ»</w:t>
      </w:r>
    </w:p>
    <w:p w:rsidR="003F310F" w:rsidRDefault="003F310F" w:rsidP="006429C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29CA" w:rsidRDefault="006429CA" w:rsidP="006429C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29CA" w:rsidRDefault="006429CA" w:rsidP="006429C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29CA" w:rsidRDefault="006429CA" w:rsidP="006429C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29CA" w:rsidRDefault="006429CA" w:rsidP="006429C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29CA" w:rsidRDefault="006429CA" w:rsidP="006429C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29CA" w:rsidRDefault="006429CA" w:rsidP="006429C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29CA" w:rsidRDefault="006429CA" w:rsidP="006429C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310F" w:rsidRPr="003F310F" w:rsidRDefault="003F310F" w:rsidP="006429C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Москва, 2018</w:t>
      </w:r>
    </w:p>
    <w:p w:rsidR="00311523" w:rsidRDefault="00E0405D" w:rsidP="006429C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I</w:t>
      </w:r>
      <w:r w:rsidR="00311523">
        <w:rPr>
          <w:rFonts w:ascii="Times New Roman" w:hAnsi="Times New Roman" w:cs="Times New Roman"/>
          <w:sz w:val="24"/>
          <w:szCs w:val="24"/>
        </w:rPr>
        <w:t>.</w:t>
      </w:r>
      <w:r w:rsidR="00B54600">
        <w:rPr>
          <w:rFonts w:ascii="Times New Roman" w:hAnsi="Times New Roman" w:cs="Times New Roman"/>
          <w:sz w:val="24"/>
          <w:szCs w:val="24"/>
        </w:rPr>
        <w:t xml:space="preserve"> Причины зарождения направления интеллектуальных энергетических систем</w:t>
      </w:r>
    </w:p>
    <w:p w:rsidR="00AA6CA5" w:rsidRDefault="00C84D52" w:rsidP="00CF22D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7CEE">
        <w:rPr>
          <w:rFonts w:ascii="Times New Roman" w:hAnsi="Times New Roman" w:cs="Times New Roman"/>
          <w:sz w:val="24"/>
          <w:szCs w:val="24"/>
        </w:rPr>
        <w:t>Интеллектуальная энергетическая система – это направление, описывающее создание экономически выгодной, устойчивой и безопасной энергетической системы, в которой потребление электроэнергии, производство (в том числе и от возобновляемых источников энергии), а также инфраструктура интегрированы и скоординированы с помощью новейших технологий.</w:t>
      </w:r>
    </w:p>
    <w:p w:rsidR="00B54600" w:rsidRDefault="00B54600" w:rsidP="00CF22D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Причины развития данного направления можно разделить на три подгруппы: технологические, экономические и правовые.  </w:t>
      </w:r>
    </w:p>
    <w:p w:rsidR="00B54600" w:rsidRDefault="00B54600" w:rsidP="0066696B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основным технологическим причинам можно отнести:</w:t>
      </w:r>
    </w:p>
    <w:p w:rsidR="00170801" w:rsidRDefault="00E0405D" w:rsidP="00CF22D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54600" w:rsidRPr="00170801">
        <w:rPr>
          <w:rFonts w:ascii="Times New Roman" w:hAnsi="Times New Roman" w:cs="Times New Roman"/>
          <w:sz w:val="24"/>
          <w:szCs w:val="24"/>
        </w:rPr>
        <w:t xml:space="preserve">Развитие технологий возобновляемых источников электроэнергии и снижение </w:t>
      </w:r>
      <w:r w:rsidR="00D840F5" w:rsidRPr="00170801">
        <w:rPr>
          <w:rFonts w:ascii="Times New Roman" w:hAnsi="Times New Roman" w:cs="Times New Roman"/>
          <w:sz w:val="24"/>
          <w:szCs w:val="24"/>
        </w:rPr>
        <w:t>стоимости на эти технологии.</w:t>
      </w:r>
      <w:r w:rsidR="00996377">
        <w:rPr>
          <w:rFonts w:ascii="Times New Roman" w:hAnsi="Times New Roman" w:cs="Times New Roman"/>
          <w:sz w:val="24"/>
          <w:szCs w:val="24"/>
        </w:rPr>
        <w:t xml:space="preserve"> </w:t>
      </w:r>
      <w:r w:rsidR="00170801">
        <w:rPr>
          <w:rFonts w:ascii="Times New Roman" w:hAnsi="Times New Roman" w:cs="Times New Roman"/>
          <w:sz w:val="24"/>
          <w:szCs w:val="24"/>
        </w:rPr>
        <w:t xml:space="preserve">По данным </w:t>
      </w:r>
      <w:r w:rsidR="009B1BD0">
        <w:rPr>
          <w:rFonts w:ascii="Times New Roman" w:hAnsi="Times New Roman" w:cs="Times New Roman"/>
          <w:sz w:val="24"/>
          <w:szCs w:val="24"/>
        </w:rPr>
        <w:t>на 2017 год, стоимость выработки солнечной энергии сократилась на 80% и опустилась ниже 2-х центов за кВт*ч</w:t>
      </w:r>
      <w:r w:rsidR="00F90519">
        <w:rPr>
          <w:rStyle w:val="af"/>
          <w:rFonts w:ascii="Times New Roman" w:hAnsi="Times New Roman" w:cs="Times New Roman"/>
          <w:sz w:val="24"/>
          <w:szCs w:val="24"/>
        </w:rPr>
        <w:footnoteReference w:id="2"/>
      </w:r>
      <w:r w:rsidR="00170801">
        <w:rPr>
          <w:rFonts w:ascii="Times New Roman" w:hAnsi="Times New Roman" w:cs="Times New Roman"/>
          <w:sz w:val="24"/>
          <w:szCs w:val="24"/>
        </w:rPr>
        <w:t xml:space="preserve">, что сделало ее доступной для рядового потребителя. </w:t>
      </w:r>
      <w:r w:rsidR="00170801" w:rsidRPr="0066696B">
        <w:rPr>
          <w:rFonts w:ascii="Times New Roman" w:hAnsi="Times New Roman" w:cs="Times New Roman"/>
          <w:sz w:val="24"/>
          <w:szCs w:val="24"/>
        </w:rPr>
        <w:t>Возможность генерировать электроэнергию без применения углеводородных видов топлива, но в строго определенный, независимый от желания потребителя, период поставила вопрос о способности накопления выработанной ВИЭ электроэнергии, что послужило одной из причин нового витка в развитии накопителей электроэнергии. Накопители ЭЭ – также являются неотъемлемой частью интеллектуальной энергетической системы; кроме очевидно эффекта накопления электроэнергии, они также несут в себе ряд преимуществ, например, способность нивелировать вечерние и дневные максимумы нагрузки.</w:t>
      </w:r>
    </w:p>
    <w:p w:rsidR="00170801" w:rsidRPr="00996377" w:rsidRDefault="00E0405D" w:rsidP="00CF22D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70801">
        <w:rPr>
          <w:rFonts w:ascii="Times New Roman" w:hAnsi="Times New Roman" w:cs="Times New Roman"/>
          <w:sz w:val="24"/>
          <w:szCs w:val="24"/>
        </w:rPr>
        <w:t xml:space="preserve">Развитие вычислительной техники и </w:t>
      </w:r>
      <w:r w:rsidR="00834A88">
        <w:rPr>
          <w:rFonts w:ascii="Times New Roman" w:hAnsi="Times New Roman" w:cs="Times New Roman"/>
          <w:sz w:val="24"/>
          <w:szCs w:val="24"/>
        </w:rPr>
        <w:t>каналообразующей аппаратуры</w:t>
      </w:r>
      <w:r w:rsidR="00170801">
        <w:rPr>
          <w:rFonts w:ascii="Times New Roman" w:hAnsi="Times New Roman" w:cs="Times New Roman"/>
          <w:sz w:val="24"/>
          <w:szCs w:val="24"/>
        </w:rPr>
        <w:t xml:space="preserve">, а также снижение стоимости на данные технологии также является одной из причин развития направления. Эти факторы позволили передавать большие объемы данных между устройствами и затем производить их обработку за малый промежуток времени. </w:t>
      </w:r>
      <w:r w:rsidR="00711203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136600">
        <w:rPr>
          <w:rFonts w:ascii="Times New Roman" w:hAnsi="Times New Roman" w:cs="Times New Roman"/>
          <w:sz w:val="24"/>
          <w:szCs w:val="24"/>
        </w:rPr>
        <w:t>появилась</w:t>
      </w:r>
      <w:r w:rsidR="00711203">
        <w:rPr>
          <w:rFonts w:ascii="Times New Roman" w:hAnsi="Times New Roman" w:cs="Times New Roman"/>
          <w:sz w:val="24"/>
          <w:szCs w:val="24"/>
        </w:rPr>
        <w:t xml:space="preserve"> возможность интеграции большого числа устройств (измерительные преобразователи, датчи</w:t>
      </w:r>
      <w:r w:rsidR="008A7FCC">
        <w:rPr>
          <w:rFonts w:ascii="Times New Roman" w:hAnsi="Times New Roman" w:cs="Times New Roman"/>
          <w:sz w:val="24"/>
          <w:szCs w:val="24"/>
        </w:rPr>
        <w:t>ки тепла</w:t>
      </w:r>
      <w:r w:rsidR="00711203">
        <w:rPr>
          <w:rFonts w:ascii="Times New Roman" w:hAnsi="Times New Roman" w:cs="Times New Roman"/>
          <w:sz w:val="24"/>
          <w:szCs w:val="24"/>
        </w:rPr>
        <w:t>, влажности и т.п.</w:t>
      </w:r>
      <w:r w:rsidR="00136600">
        <w:rPr>
          <w:rFonts w:ascii="Times New Roman" w:hAnsi="Times New Roman" w:cs="Times New Roman"/>
          <w:sz w:val="24"/>
          <w:szCs w:val="24"/>
        </w:rPr>
        <w:t>) в единую систему, где информация с этих устройств может быть обработана</w:t>
      </w:r>
      <w:r w:rsidR="00834A88">
        <w:rPr>
          <w:rFonts w:ascii="Times New Roman" w:hAnsi="Times New Roman" w:cs="Times New Roman"/>
          <w:sz w:val="24"/>
          <w:szCs w:val="24"/>
        </w:rPr>
        <w:t>, опубликована</w:t>
      </w:r>
      <w:r w:rsidR="00136600">
        <w:rPr>
          <w:rFonts w:ascii="Times New Roman" w:hAnsi="Times New Roman" w:cs="Times New Roman"/>
          <w:sz w:val="24"/>
          <w:szCs w:val="24"/>
        </w:rPr>
        <w:t xml:space="preserve"> и использована в качестве входных данных для</w:t>
      </w:r>
      <w:r w:rsidR="00834A88">
        <w:rPr>
          <w:rFonts w:ascii="Times New Roman" w:hAnsi="Times New Roman" w:cs="Times New Roman"/>
          <w:sz w:val="24"/>
          <w:szCs w:val="24"/>
        </w:rPr>
        <w:t xml:space="preserve"> различных сервисов или</w:t>
      </w:r>
      <w:r w:rsidR="00136600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834A88">
        <w:rPr>
          <w:rFonts w:ascii="Times New Roman" w:hAnsi="Times New Roman" w:cs="Times New Roman"/>
          <w:sz w:val="24"/>
          <w:szCs w:val="24"/>
        </w:rPr>
        <w:t>ы</w:t>
      </w:r>
      <w:r w:rsidR="00136600">
        <w:rPr>
          <w:rFonts w:ascii="Times New Roman" w:hAnsi="Times New Roman" w:cs="Times New Roman"/>
          <w:sz w:val="24"/>
          <w:szCs w:val="24"/>
        </w:rPr>
        <w:t xml:space="preserve"> управления. </w:t>
      </w:r>
      <w:r w:rsidR="00834A88">
        <w:rPr>
          <w:rFonts w:ascii="Times New Roman" w:hAnsi="Times New Roman" w:cs="Times New Roman"/>
          <w:sz w:val="24"/>
          <w:szCs w:val="24"/>
        </w:rPr>
        <w:t>С</w:t>
      </w:r>
      <w:r w:rsidR="00136600">
        <w:rPr>
          <w:rFonts w:ascii="Times New Roman" w:hAnsi="Times New Roman" w:cs="Times New Roman"/>
          <w:sz w:val="24"/>
          <w:szCs w:val="24"/>
        </w:rPr>
        <w:t xml:space="preserve">нижение стоимости на эти технологии позволяют использовать их для частного </w:t>
      </w:r>
      <w:r w:rsidR="00834A88">
        <w:rPr>
          <w:rFonts w:ascii="Times New Roman" w:hAnsi="Times New Roman" w:cs="Times New Roman"/>
          <w:sz w:val="24"/>
          <w:szCs w:val="24"/>
        </w:rPr>
        <w:t>использования</w:t>
      </w:r>
      <w:r w:rsidR="00136600">
        <w:rPr>
          <w:rFonts w:ascii="Times New Roman" w:hAnsi="Times New Roman" w:cs="Times New Roman"/>
          <w:sz w:val="24"/>
          <w:szCs w:val="24"/>
        </w:rPr>
        <w:t xml:space="preserve"> рядовыми гражданами.</w:t>
      </w:r>
    </w:p>
    <w:p w:rsidR="00137DB6" w:rsidRDefault="00137DB6" w:rsidP="0017080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36600" w:rsidRDefault="00E0405D" w:rsidP="00CF22D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5E007F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834A88">
        <w:rPr>
          <w:rFonts w:ascii="Times New Roman" w:hAnsi="Times New Roman" w:cs="Times New Roman"/>
          <w:sz w:val="24"/>
          <w:szCs w:val="24"/>
        </w:rPr>
        <w:t>технологий сбора и алгоритмов обработки больших данных (</w:t>
      </w:r>
      <w:r w:rsidR="00834A88">
        <w:rPr>
          <w:rFonts w:ascii="Times New Roman" w:hAnsi="Times New Roman" w:cs="Times New Roman"/>
          <w:sz w:val="24"/>
          <w:szCs w:val="24"/>
          <w:lang w:val="en-US"/>
        </w:rPr>
        <w:t>BigData</w:t>
      </w:r>
      <w:r w:rsidR="00834A88" w:rsidRPr="00834A88">
        <w:rPr>
          <w:rFonts w:ascii="Times New Roman" w:hAnsi="Times New Roman" w:cs="Times New Roman"/>
          <w:sz w:val="24"/>
          <w:szCs w:val="24"/>
        </w:rPr>
        <w:t>)</w:t>
      </w:r>
      <w:r w:rsidR="00834A88">
        <w:rPr>
          <w:rFonts w:ascii="Times New Roman" w:hAnsi="Times New Roman" w:cs="Times New Roman"/>
          <w:sz w:val="24"/>
          <w:szCs w:val="24"/>
        </w:rPr>
        <w:t xml:space="preserve">, машинного обучения, </w:t>
      </w:r>
      <w:r w:rsidR="00834A88" w:rsidRPr="003B64E2">
        <w:rPr>
          <w:rFonts w:ascii="Times New Roman" w:hAnsi="Times New Roman" w:cs="Times New Roman"/>
          <w:sz w:val="24"/>
          <w:szCs w:val="24"/>
        </w:rPr>
        <w:t xml:space="preserve">облачных технологий хранения данных и </w:t>
      </w:r>
      <w:r w:rsidR="005E007F" w:rsidRPr="003B64E2">
        <w:rPr>
          <w:rFonts w:ascii="Times New Roman" w:hAnsi="Times New Roman" w:cs="Times New Roman"/>
          <w:sz w:val="24"/>
          <w:szCs w:val="24"/>
        </w:rPr>
        <w:t>концепции</w:t>
      </w:r>
      <w:r w:rsidR="005E007F">
        <w:rPr>
          <w:rFonts w:ascii="Times New Roman" w:hAnsi="Times New Roman" w:cs="Times New Roman"/>
          <w:sz w:val="24"/>
          <w:szCs w:val="24"/>
        </w:rPr>
        <w:t xml:space="preserve"> интернета вещей (</w:t>
      </w:r>
      <w:r w:rsidR="005E007F">
        <w:rPr>
          <w:rFonts w:ascii="Times New Roman" w:hAnsi="Times New Roman" w:cs="Times New Roman"/>
          <w:sz w:val="24"/>
          <w:szCs w:val="24"/>
          <w:lang w:val="en-US"/>
        </w:rPr>
        <w:t>IOT</w:t>
      </w:r>
      <w:r w:rsidR="005E007F" w:rsidRPr="00834A88">
        <w:rPr>
          <w:rFonts w:ascii="Times New Roman" w:hAnsi="Times New Roman" w:cs="Times New Roman"/>
          <w:sz w:val="24"/>
          <w:szCs w:val="24"/>
        </w:rPr>
        <w:t>)</w:t>
      </w:r>
      <w:r w:rsidR="00834A88">
        <w:rPr>
          <w:rFonts w:ascii="Times New Roman" w:hAnsi="Times New Roman" w:cs="Times New Roman"/>
          <w:sz w:val="24"/>
          <w:szCs w:val="24"/>
        </w:rPr>
        <w:t>привели к появлению готовых платформ, реализующих сервисы мониторинга, управления и хранения данных, что в значительной мере у</w:t>
      </w:r>
      <w:r w:rsidR="00483439">
        <w:rPr>
          <w:rFonts w:ascii="Times New Roman" w:hAnsi="Times New Roman" w:cs="Times New Roman"/>
          <w:sz w:val="24"/>
          <w:szCs w:val="24"/>
        </w:rPr>
        <w:t xml:space="preserve">величили скорость разработки новых технологий, </w:t>
      </w:r>
      <w:r w:rsidR="001D05E0">
        <w:rPr>
          <w:rFonts w:ascii="Times New Roman" w:hAnsi="Times New Roman" w:cs="Times New Roman"/>
          <w:sz w:val="24"/>
          <w:szCs w:val="24"/>
        </w:rPr>
        <w:t>появились готовые инструменты для прогнозирования, интеллектуального управления, основывающегося на большом количестве факторов, реализации рыночных механизмов взаимодействия между узлами системы</w:t>
      </w:r>
      <w:r w:rsidR="00F90519">
        <w:rPr>
          <w:rStyle w:val="af"/>
          <w:rFonts w:ascii="Times New Roman" w:hAnsi="Times New Roman" w:cs="Times New Roman"/>
          <w:sz w:val="24"/>
          <w:szCs w:val="24"/>
        </w:rPr>
        <w:footnoteReference w:id="3"/>
      </w:r>
      <w:r w:rsidR="001D05E0">
        <w:rPr>
          <w:rFonts w:ascii="Times New Roman" w:hAnsi="Times New Roman" w:cs="Times New Roman"/>
          <w:sz w:val="24"/>
          <w:szCs w:val="24"/>
        </w:rPr>
        <w:t xml:space="preserve">, </w:t>
      </w:r>
      <w:r w:rsidR="00483439">
        <w:rPr>
          <w:rFonts w:ascii="Times New Roman" w:hAnsi="Times New Roman" w:cs="Times New Roman"/>
          <w:sz w:val="24"/>
          <w:szCs w:val="24"/>
        </w:rPr>
        <w:t>а также сделали их более доступными</w:t>
      </w:r>
      <w:r w:rsidR="001D05E0">
        <w:rPr>
          <w:rFonts w:ascii="Times New Roman" w:hAnsi="Times New Roman" w:cs="Times New Roman"/>
          <w:sz w:val="24"/>
          <w:szCs w:val="24"/>
        </w:rPr>
        <w:t>.</w:t>
      </w:r>
    </w:p>
    <w:p w:rsidR="001D05E0" w:rsidRDefault="001D05E0" w:rsidP="00CF22D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экономическим причинам развития направления относятся</w:t>
      </w:r>
    </w:p>
    <w:p w:rsidR="00483439" w:rsidRPr="00EF4CB1" w:rsidRDefault="00E0405D" w:rsidP="00CF22D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D05E0">
        <w:rPr>
          <w:rFonts w:ascii="Times New Roman" w:hAnsi="Times New Roman" w:cs="Times New Roman"/>
          <w:sz w:val="24"/>
          <w:szCs w:val="24"/>
        </w:rPr>
        <w:t>Высокая стоимость на ископаемые ресурсы</w:t>
      </w:r>
      <w:r w:rsidR="00EF4CB1" w:rsidRPr="00EF4CB1">
        <w:rPr>
          <w:rFonts w:ascii="Times New Roman" w:hAnsi="Times New Roman" w:cs="Times New Roman"/>
          <w:sz w:val="24"/>
          <w:szCs w:val="24"/>
        </w:rPr>
        <w:t xml:space="preserve">. </w:t>
      </w:r>
      <w:r w:rsidR="003B64E2">
        <w:rPr>
          <w:rFonts w:ascii="Times New Roman" w:hAnsi="Times New Roman" w:cs="Times New Roman"/>
          <w:sz w:val="24"/>
          <w:szCs w:val="24"/>
        </w:rPr>
        <w:t>Не смотря на резкие изменения цены на нефть, стоимость на электроэнергию, горячую воду и газ будут повышаться. Поэтому, развитие интеллектуальных систем для управления электро</w:t>
      </w:r>
      <w:r w:rsidR="00996377">
        <w:rPr>
          <w:rFonts w:ascii="Times New Roman" w:hAnsi="Times New Roman" w:cs="Times New Roman"/>
          <w:sz w:val="24"/>
          <w:szCs w:val="24"/>
        </w:rPr>
        <w:t>-</w:t>
      </w:r>
      <w:r w:rsidR="003B64E2">
        <w:rPr>
          <w:rFonts w:ascii="Times New Roman" w:hAnsi="Times New Roman" w:cs="Times New Roman"/>
          <w:sz w:val="24"/>
          <w:szCs w:val="24"/>
        </w:rPr>
        <w:t>, газо</w:t>
      </w:r>
      <w:r w:rsidR="00996377">
        <w:rPr>
          <w:rFonts w:ascii="Times New Roman" w:hAnsi="Times New Roman" w:cs="Times New Roman"/>
          <w:sz w:val="24"/>
          <w:szCs w:val="24"/>
        </w:rPr>
        <w:t>-</w:t>
      </w:r>
      <w:r w:rsidR="003B64E2">
        <w:rPr>
          <w:rFonts w:ascii="Times New Roman" w:hAnsi="Times New Roman" w:cs="Times New Roman"/>
          <w:sz w:val="24"/>
          <w:szCs w:val="24"/>
        </w:rPr>
        <w:t xml:space="preserve"> и теплоснабжения, способных в комплексе снизить затраты на покупку ресурсов, является естественной потребностью для конечного потребителя.</w:t>
      </w:r>
    </w:p>
    <w:p w:rsidR="001D05E0" w:rsidRDefault="00E0405D" w:rsidP="00CF22D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D05E0">
        <w:rPr>
          <w:rFonts w:ascii="Times New Roman" w:hAnsi="Times New Roman" w:cs="Times New Roman"/>
          <w:sz w:val="24"/>
          <w:szCs w:val="24"/>
        </w:rPr>
        <w:t>Высокая стоимость создания централизованной инфраструктуры</w:t>
      </w:r>
      <w:r w:rsidR="003B64E2">
        <w:rPr>
          <w:rFonts w:ascii="Times New Roman" w:hAnsi="Times New Roman" w:cs="Times New Roman"/>
          <w:sz w:val="24"/>
          <w:szCs w:val="24"/>
        </w:rPr>
        <w:t xml:space="preserve"> электро</w:t>
      </w:r>
      <w:r w:rsidR="00996377">
        <w:rPr>
          <w:rFonts w:ascii="Times New Roman" w:hAnsi="Times New Roman" w:cs="Times New Roman"/>
          <w:sz w:val="24"/>
          <w:szCs w:val="24"/>
        </w:rPr>
        <w:t>-</w:t>
      </w:r>
      <w:r w:rsidR="003B64E2">
        <w:rPr>
          <w:rFonts w:ascii="Times New Roman" w:hAnsi="Times New Roman" w:cs="Times New Roman"/>
          <w:sz w:val="24"/>
          <w:szCs w:val="24"/>
        </w:rPr>
        <w:t>, газо</w:t>
      </w:r>
      <w:r w:rsidR="00996377">
        <w:rPr>
          <w:rFonts w:ascii="Times New Roman" w:hAnsi="Times New Roman" w:cs="Times New Roman"/>
          <w:sz w:val="24"/>
          <w:szCs w:val="24"/>
        </w:rPr>
        <w:t>-</w:t>
      </w:r>
      <w:r w:rsidR="003B64E2">
        <w:rPr>
          <w:rFonts w:ascii="Times New Roman" w:hAnsi="Times New Roman" w:cs="Times New Roman"/>
          <w:sz w:val="24"/>
          <w:szCs w:val="24"/>
        </w:rPr>
        <w:t xml:space="preserve"> и теплоснабжения также является драйвером развития направления. Создание микроэнергосистем для отдаленных и труднодоступных поселений, куда подведение централизованного энергоснабжения является экономически нецелесообразно, является хорошей альтернативой для государственных структур.  </w:t>
      </w:r>
    </w:p>
    <w:p w:rsidR="001D05E0" w:rsidRDefault="001D05E0" w:rsidP="00CF22D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правовым </w:t>
      </w:r>
      <w:r w:rsidR="008A7FCC">
        <w:rPr>
          <w:rFonts w:ascii="Times New Roman" w:hAnsi="Times New Roman" w:cs="Times New Roman"/>
          <w:sz w:val="24"/>
          <w:szCs w:val="24"/>
        </w:rPr>
        <w:t>причинам развития направления относится</w:t>
      </w:r>
    </w:p>
    <w:p w:rsidR="008A7FCC" w:rsidRDefault="00E0405D" w:rsidP="00CF22D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A7FCC">
        <w:rPr>
          <w:rFonts w:ascii="Times New Roman" w:hAnsi="Times New Roman" w:cs="Times New Roman"/>
          <w:sz w:val="24"/>
          <w:szCs w:val="24"/>
        </w:rPr>
        <w:t xml:space="preserve">Изменение законодательства в </w:t>
      </w:r>
      <w:r w:rsidR="00DC5FEA">
        <w:rPr>
          <w:rFonts w:ascii="Times New Roman" w:hAnsi="Times New Roman" w:cs="Times New Roman"/>
          <w:sz w:val="24"/>
          <w:szCs w:val="24"/>
        </w:rPr>
        <w:t>России привело</w:t>
      </w:r>
      <w:r w:rsidR="008A7FCC">
        <w:rPr>
          <w:rFonts w:ascii="Times New Roman" w:hAnsi="Times New Roman" w:cs="Times New Roman"/>
          <w:sz w:val="24"/>
          <w:szCs w:val="24"/>
        </w:rPr>
        <w:t xml:space="preserve"> к появлению возможности у потребителя продать</w:t>
      </w:r>
      <w:r w:rsidR="00996377">
        <w:rPr>
          <w:rFonts w:ascii="Times New Roman" w:hAnsi="Times New Roman" w:cs="Times New Roman"/>
          <w:sz w:val="24"/>
          <w:szCs w:val="24"/>
        </w:rPr>
        <w:t xml:space="preserve"> </w:t>
      </w:r>
      <w:r w:rsidR="00FD1598" w:rsidRPr="00FD1598">
        <w:rPr>
          <w:rFonts w:ascii="Times New Roman" w:hAnsi="Times New Roman" w:cs="Times New Roman"/>
          <w:sz w:val="24"/>
          <w:szCs w:val="24"/>
        </w:rPr>
        <w:t>электроэнергию</w:t>
      </w:r>
      <w:r w:rsidR="00996377">
        <w:rPr>
          <w:rFonts w:ascii="Times New Roman" w:hAnsi="Times New Roman" w:cs="Times New Roman"/>
          <w:sz w:val="24"/>
          <w:szCs w:val="24"/>
        </w:rPr>
        <w:t xml:space="preserve"> </w:t>
      </w:r>
      <w:r w:rsidR="00FD1598" w:rsidRPr="00FD1598">
        <w:rPr>
          <w:rFonts w:ascii="Times New Roman" w:hAnsi="Times New Roman" w:cs="Times New Roman"/>
          <w:sz w:val="24"/>
          <w:szCs w:val="24"/>
        </w:rPr>
        <w:t>(до 15 кВт</w:t>
      </w:r>
      <w:r w:rsidR="00F90519">
        <w:rPr>
          <w:rStyle w:val="af"/>
          <w:rFonts w:ascii="Times New Roman" w:hAnsi="Times New Roman" w:cs="Times New Roman"/>
          <w:sz w:val="24"/>
          <w:szCs w:val="24"/>
        </w:rPr>
        <w:footnoteReference w:id="4"/>
      </w:r>
      <w:r w:rsidR="008A7FCC" w:rsidRPr="00FD1598">
        <w:rPr>
          <w:rFonts w:ascii="Times New Roman" w:hAnsi="Times New Roman" w:cs="Times New Roman"/>
          <w:sz w:val="24"/>
          <w:szCs w:val="24"/>
        </w:rPr>
        <w:t>)</w:t>
      </w:r>
      <w:r w:rsidR="008A7FCC">
        <w:rPr>
          <w:rFonts w:ascii="Times New Roman" w:hAnsi="Times New Roman" w:cs="Times New Roman"/>
          <w:sz w:val="24"/>
          <w:szCs w:val="24"/>
        </w:rPr>
        <w:t xml:space="preserve"> сетевой компании.</w:t>
      </w:r>
      <w:r w:rsidR="00FD1598">
        <w:rPr>
          <w:rFonts w:ascii="Times New Roman" w:hAnsi="Times New Roman" w:cs="Times New Roman"/>
          <w:sz w:val="24"/>
          <w:szCs w:val="24"/>
        </w:rPr>
        <w:t xml:space="preserve"> Данная мера окажет стимулирующий эффект для роста числа </w:t>
      </w:r>
      <w:r w:rsidR="00DC5FEA">
        <w:rPr>
          <w:rFonts w:ascii="Times New Roman" w:hAnsi="Times New Roman" w:cs="Times New Roman"/>
          <w:sz w:val="24"/>
          <w:szCs w:val="24"/>
        </w:rPr>
        <w:t>возобновляемых источников энергии. Дальнейшим шагом может стать разрешение торговли электроэнергией между потребителями, что сделает возможным для потребителей передачу электроэнергии друг другу в рамках одной микроэнергосистемы.</w:t>
      </w:r>
    </w:p>
    <w:p w:rsidR="008A7FCC" w:rsidRDefault="00E0405D" w:rsidP="00CF22D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DC5FEA">
        <w:rPr>
          <w:rFonts w:ascii="Times New Roman" w:hAnsi="Times New Roman" w:cs="Times New Roman"/>
          <w:sz w:val="24"/>
          <w:szCs w:val="24"/>
        </w:rPr>
        <w:t>Ратификация</w:t>
      </w:r>
      <w:r w:rsidR="008A7FCC">
        <w:rPr>
          <w:rFonts w:ascii="Times New Roman" w:hAnsi="Times New Roman" w:cs="Times New Roman"/>
          <w:sz w:val="24"/>
          <w:szCs w:val="24"/>
        </w:rPr>
        <w:t xml:space="preserve"> Парижских соглашений</w:t>
      </w:r>
      <w:r w:rsidR="00DC5FEA">
        <w:rPr>
          <w:rFonts w:ascii="Times New Roman" w:hAnsi="Times New Roman" w:cs="Times New Roman"/>
          <w:sz w:val="24"/>
          <w:szCs w:val="24"/>
        </w:rPr>
        <w:t xml:space="preserve"> Россией</w:t>
      </w:r>
      <w:r w:rsidR="008A7FCC">
        <w:rPr>
          <w:rFonts w:ascii="Times New Roman" w:hAnsi="Times New Roman" w:cs="Times New Roman"/>
          <w:sz w:val="24"/>
          <w:szCs w:val="24"/>
        </w:rPr>
        <w:t xml:space="preserve"> в 2015</w:t>
      </w:r>
      <w:r w:rsidR="00F90519">
        <w:rPr>
          <w:rStyle w:val="af"/>
          <w:rFonts w:ascii="Times New Roman" w:hAnsi="Times New Roman" w:cs="Times New Roman"/>
          <w:sz w:val="24"/>
          <w:szCs w:val="24"/>
        </w:rPr>
        <w:footnoteReference w:id="5"/>
      </w:r>
      <w:r w:rsidR="008A7FCC">
        <w:rPr>
          <w:rFonts w:ascii="Times New Roman" w:hAnsi="Times New Roman" w:cs="Times New Roman"/>
          <w:sz w:val="24"/>
          <w:szCs w:val="24"/>
        </w:rPr>
        <w:t xml:space="preserve"> году регламентирует </w:t>
      </w:r>
      <w:r w:rsidR="00DC5FEA">
        <w:rPr>
          <w:rFonts w:ascii="Times New Roman" w:hAnsi="Times New Roman" w:cs="Times New Roman"/>
          <w:sz w:val="24"/>
          <w:szCs w:val="24"/>
        </w:rPr>
        <w:t>принять планы по снижению выбросов парниковых газов в атмосферу разработать национальные стратегии перехода на возобновляемые источники электроэнергии. Таким образом, просматривается общемировая тенденция на сокращение числа установок на углеводородом топливе, что стимулирует развитие рынка возобновляемых технологий.</w:t>
      </w:r>
    </w:p>
    <w:p w:rsidR="00170801" w:rsidRDefault="00170801" w:rsidP="00CF22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4A8" w:rsidRPr="00F90519" w:rsidRDefault="00E0405D" w:rsidP="00E2791C">
      <w:pPr>
        <w:spacing w:line="360" w:lineRule="auto"/>
        <w:ind w:firstLine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II</w:t>
      </w:r>
      <w:r w:rsidR="00311523" w:rsidRPr="00F90519">
        <w:rPr>
          <w:rFonts w:ascii="Times New Roman" w:hAnsi="Times New Roman" w:cs="Times New Roman"/>
          <w:sz w:val="24"/>
          <w:szCs w:val="28"/>
        </w:rPr>
        <w:t xml:space="preserve">. </w:t>
      </w:r>
      <w:r w:rsidR="00F90519" w:rsidRPr="00F90519">
        <w:rPr>
          <w:rFonts w:ascii="Times New Roman" w:hAnsi="Times New Roman" w:cs="Times New Roman"/>
          <w:sz w:val="24"/>
          <w:szCs w:val="28"/>
        </w:rPr>
        <w:t>Актуальность направления</w:t>
      </w:r>
    </w:p>
    <w:p w:rsidR="004738D9" w:rsidRPr="00E2791C" w:rsidRDefault="004D3933" w:rsidP="00CF22D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сегодняшний день </w:t>
      </w:r>
      <w:r w:rsidR="00B72EE5">
        <w:rPr>
          <w:rFonts w:ascii="Times New Roman" w:hAnsi="Times New Roman" w:cs="Times New Roman"/>
          <w:sz w:val="24"/>
          <w:szCs w:val="24"/>
        </w:rPr>
        <w:t xml:space="preserve">в мире </w:t>
      </w:r>
      <w:r>
        <w:rPr>
          <w:rFonts w:ascii="Times New Roman" w:hAnsi="Times New Roman" w:cs="Times New Roman"/>
          <w:sz w:val="24"/>
          <w:szCs w:val="24"/>
        </w:rPr>
        <w:t>можно наблюдать активное развитие четвертой промышленной революции</w:t>
      </w:r>
      <w:r w:rsidR="00ED6DDB" w:rsidRPr="00E2791C">
        <w:rPr>
          <w:rFonts w:ascii="Times New Roman" w:hAnsi="Times New Roman" w:cs="Times New Roman"/>
          <w:sz w:val="24"/>
          <w:szCs w:val="24"/>
        </w:rPr>
        <w:t>. Введение киберфизических систем в производство (индустрия 4.0</w:t>
      </w:r>
      <w:r w:rsidR="00F90519">
        <w:rPr>
          <w:rStyle w:val="af"/>
          <w:rFonts w:ascii="Times New Roman" w:hAnsi="Times New Roman" w:cs="Times New Roman"/>
          <w:sz w:val="24"/>
          <w:szCs w:val="24"/>
        </w:rPr>
        <w:footnoteReference w:id="6"/>
      </w:r>
      <w:r w:rsidR="00ED6DDB" w:rsidRPr="00E2791C">
        <w:rPr>
          <w:rFonts w:ascii="Times New Roman" w:hAnsi="Times New Roman" w:cs="Times New Roman"/>
          <w:sz w:val="24"/>
          <w:szCs w:val="24"/>
        </w:rPr>
        <w:t>), повсеместное использование алгоритмов машинного обучения, использование технологий блокчейна и других распределенных баз данных приве</w:t>
      </w:r>
      <w:r w:rsidR="003A4B9F" w:rsidRPr="00E2791C">
        <w:rPr>
          <w:rFonts w:ascii="Times New Roman" w:hAnsi="Times New Roman" w:cs="Times New Roman"/>
          <w:sz w:val="24"/>
          <w:szCs w:val="24"/>
        </w:rPr>
        <w:t>ли к трансформации целого ряда отраслей экономики, в том числе и энергетики. Ведущие экономики мира: Германия, Великобритания, Япония, США и др</w:t>
      </w:r>
      <w:r w:rsidR="00F90519">
        <w:rPr>
          <w:rStyle w:val="af"/>
          <w:rFonts w:ascii="Times New Roman" w:hAnsi="Times New Roman" w:cs="Times New Roman"/>
          <w:sz w:val="24"/>
          <w:szCs w:val="24"/>
        </w:rPr>
        <w:footnoteReference w:id="7"/>
      </w:r>
      <w:r w:rsidR="003A4B9F" w:rsidRPr="00E2791C">
        <w:rPr>
          <w:rFonts w:ascii="Times New Roman" w:hAnsi="Times New Roman" w:cs="Times New Roman"/>
          <w:sz w:val="24"/>
          <w:szCs w:val="24"/>
        </w:rPr>
        <w:t xml:space="preserve">. уже приступили к реализации новейших концепций развития энергетических структур. </w:t>
      </w:r>
      <w:r w:rsidR="00FB3A30">
        <w:rPr>
          <w:rFonts w:ascii="Times New Roman" w:hAnsi="Times New Roman" w:cs="Times New Roman"/>
          <w:sz w:val="24"/>
          <w:szCs w:val="24"/>
        </w:rPr>
        <w:t xml:space="preserve">Но </w:t>
      </w:r>
      <w:r w:rsidR="00F90519">
        <w:rPr>
          <w:rFonts w:ascii="Times New Roman" w:hAnsi="Times New Roman" w:cs="Times New Roman"/>
          <w:sz w:val="24"/>
          <w:szCs w:val="24"/>
        </w:rPr>
        <w:t>в</w:t>
      </w:r>
      <w:r w:rsidR="007D351D" w:rsidRPr="00E2791C">
        <w:rPr>
          <w:rFonts w:ascii="Times New Roman" w:hAnsi="Times New Roman" w:cs="Times New Roman"/>
          <w:sz w:val="24"/>
          <w:szCs w:val="24"/>
        </w:rPr>
        <w:t xml:space="preserve"> данный момент, в России наблюдается </w:t>
      </w:r>
      <w:r>
        <w:rPr>
          <w:rFonts w:ascii="Times New Roman" w:hAnsi="Times New Roman" w:cs="Times New Roman"/>
          <w:sz w:val="24"/>
          <w:szCs w:val="24"/>
        </w:rPr>
        <w:t xml:space="preserve">замедление темпов технологического развития </w:t>
      </w:r>
      <w:r w:rsidR="007D351D" w:rsidRPr="00E2791C">
        <w:rPr>
          <w:rFonts w:ascii="Times New Roman" w:hAnsi="Times New Roman" w:cs="Times New Roman"/>
          <w:sz w:val="24"/>
          <w:szCs w:val="24"/>
        </w:rPr>
        <w:t>электроэнергетич</w:t>
      </w:r>
      <w:r>
        <w:rPr>
          <w:rFonts w:ascii="Times New Roman" w:hAnsi="Times New Roman" w:cs="Times New Roman"/>
          <w:sz w:val="24"/>
          <w:szCs w:val="24"/>
        </w:rPr>
        <w:t>еского сектора, приводящее</w:t>
      </w:r>
      <w:r w:rsidR="009A6EA3">
        <w:rPr>
          <w:rFonts w:ascii="Times New Roman" w:hAnsi="Times New Roman" w:cs="Times New Roman"/>
          <w:sz w:val="24"/>
          <w:szCs w:val="24"/>
        </w:rPr>
        <w:t xml:space="preserve"> к повышению тарифов и цены</w:t>
      </w:r>
      <w:r w:rsidR="007D351D" w:rsidRPr="00E2791C">
        <w:rPr>
          <w:rFonts w:ascii="Times New Roman" w:hAnsi="Times New Roman" w:cs="Times New Roman"/>
          <w:sz w:val="24"/>
          <w:szCs w:val="24"/>
        </w:rPr>
        <w:t xml:space="preserve"> на электроэнергию для потребителей</w:t>
      </w:r>
      <w:r w:rsidR="00F90519" w:rsidRPr="00F90519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7D351D" w:rsidRPr="00E2791C">
        <w:rPr>
          <w:rFonts w:ascii="Times New Roman" w:hAnsi="Times New Roman" w:cs="Times New Roman"/>
          <w:sz w:val="24"/>
          <w:szCs w:val="24"/>
        </w:rPr>
        <w:t xml:space="preserve">. Проблема обостряется тем, что повышаются требования потребителей по качеству и надежности потребляемой электроэнергии. Необходимо понимать, что при сохранении данной тенденции и использовании традиционных подходов, невозможно обеспечить требуемые качество, надежность и доступность электроэнергии без повышения тарифов. В свою очередь, повышения тарифов будет негативно сказываться на всей экономике страны в целом, что повлечет дальнейшую стагнацию всех отраслей, в том числе и электроэнергетики. </w:t>
      </w:r>
    </w:p>
    <w:p w:rsidR="007D351D" w:rsidRDefault="007D351D" w:rsidP="00CF22D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791C">
        <w:rPr>
          <w:rFonts w:ascii="Times New Roman" w:hAnsi="Times New Roman" w:cs="Times New Roman"/>
          <w:sz w:val="24"/>
          <w:szCs w:val="24"/>
        </w:rPr>
        <w:t>В с</w:t>
      </w:r>
      <w:r w:rsidR="004D3933">
        <w:rPr>
          <w:rFonts w:ascii="Times New Roman" w:hAnsi="Times New Roman" w:cs="Times New Roman"/>
          <w:sz w:val="24"/>
          <w:szCs w:val="24"/>
        </w:rPr>
        <w:t>вязи с этим, сегодня</w:t>
      </w:r>
      <w:r w:rsidRPr="00E2791C">
        <w:rPr>
          <w:rFonts w:ascii="Times New Roman" w:hAnsi="Times New Roman" w:cs="Times New Roman"/>
          <w:sz w:val="24"/>
          <w:szCs w:val="24"/>
        </w:rPr>
        <w:t xml:space="preserve"> перед электроэнергетической отраслью России поставлено несколько вызовов, преодоление которых позволит России занять конкурентные позиции на международном рынке.  </w:t>
      </w:r>
    </w:p>
    <w:p w:rsidR="00041857" w:rsidRDefault="00BB4647" w:rsidP="00CF22D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Одним из наиболее приоритетных направлений развития энергетики является интеллектуальный системы энергоснабжения. Создание микроэнергосистем, имеющих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подключение к большой энергосистеме или полностью изолированные, является общемировым трендом, и на это существует несколько причин. </w:t>
      </w:r>
    </w:p>
    <w:p w:rsidR="00BB4647" w:rsidRPr="00616DDB" w:rsidRDefault="00BB4647" w:rsidP="00CF22D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прогнозам</w:t>
      </w:r>
      <w:r w:rsidR="00F90519">
        <w:rPr>
          <w:rStyle w:val="af"/>
          <w:rFonts w:ascii="Times New Roman" w:hAnsi="Times New Roman" w:cs="Times New Roman"/>
          <w:sz w:val="24"/>
          <w:szCs w:val="24"/>
        </w:rPr>
        <w:footnoteReference w:id="8"/>
      </w:r>
      <w:r>
        <w:rPr>
          <w:rFonts w:ascii="Times New Roman" w:hAnsi="Times New Roman" w:cs="Times New Roman"/>
          <w:sz w:val="24"/>
          <w:szCs w:val="24"/>
        </w:rPr>
        <w:t>, уже в начале 2020-х годов, электроэнергия, вырабатываемая солнечными панелями и ветрогенераторами станет дешевле электроэнергии, вырабатываемой при сжигании у</w:t>
      </w:r>
      <w:r w:rsidR="00616DDB">
        <w:rPr>
          <w:rFonts w:ascii="Times New Roman" w:hAnsi="Times New Roman" w:cs="Times New Roman"/>
          <w:sz w:val="24"/>
          <w:szCs w:val="24"/>
        </w:rPr>
        <w:t xml:space="preserve">гля </w:t>
      </w:r>
      <w:r w:rsidR="00616DDB" w:rsidRPr="00616DDB">
        <w:rPr>
          <w:rFonts w:ascii="Times New Roman" w:hAnsi="Times New Roman" w:cs="Times New Roman"/>
          <w:sz w:val="24"/>
          <w:szCs w:val="24"/>
        </w:rPr>
        <w:t>(</w:t>
      </w:r>
      <w:fldSimple w:instr=" REF _Ref510104299 \h  \* MERGEFORMAT ">
        <w:r w:rsidR="00616DDB" w:rsidRPr="00616DDB">
          <w:rPr>
            <w:rFonts w:ascii="Times New Roman" w:hAnsi="Times New Roman" w:cs="Times New Roman"/>
            <w:sz w:val="24"/>
            <w:szCs w:val="24"/>
          </w:rPr>
          <w:t xml:space="preserve">Рисунок </w:t>
        </w:r>
        <w:r w:rsidR="00616DDB" w:rsidRPr="00616DDB">
          <w:rPr>
            <w:rFonts w:ascii="Times New Roman" w:hAnsi="Times New Roman" w:cs="Times New Roman"/>
            <w:noProof/>
            <w:sz w:val="24"/>
            <w:szCs w:val="24"/>
          </w:rPr>
          <w:t>1</w:t>
        </w:r>
      </w:fldSimple>
      <w:r w:rsidR="00616DDB" w:rsidRPr="00616DDB">
        <w:rPr>
          <w:rFonts w:ascii="Times New Roman" w:hAnsi="Times New Roman" w:cs="Times New Roman"/>
          <w:sz w:val="24"/>
          <w:szCs w:val="24"/>
        </w:rPr>
        <w:t>)</w:t>
      </w:r>
      <w:r w:rsidR="00863D79">
        <w:rPr>
          <w:rFonts w:ascii="Times New Roman" w:hAnsi="Times New Roman" w:cs="Times New Roman"/>
          <w:sz w:val="24"/>
          <w:szCs w:val="24"/>
        </w:rPr>
        <w:t>, что безусловно скажется на спросе на данные источники электроэнергии.</w:t>
      </w:r>
    </w:p>
    <w:p w:rsidR="00616DDB" w:rsidRDefault="00616DDB" w:rsidP="00CF22DA">
      <w:pPr>
        <w:keepNext/>
        <w:spacing w:line="360" w:lineRule="auto"/>
        <w:ind w:firstLine="708"/>
        <w:jc w:val="both"/>
      </w:pPr>
      <w:r>
        <w:rPr>
          <w:noProof/>
          <w:lang w:eastAsia="ru-RU"/>
        </w:rPr>
        <w:drawing>
          <wp:inline distT="0" distB="0" distL="0" distR="0">
            <wp:extent cx="4572000" cy="27432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16DDB" w:rsidRDefault="00616DDB" w:rsidP="00CF22DA">
      <w:pPr>
        <w:pStyle w:val="ac"/>
        <w:ind w:firstLine="708"/>
        <w:jc w:val="both"/>
        <w:rPr>
          <w:rFonts w:ascii="Times New Roman" w:hAnsi="Times New Roman" w:cs="Times New Roman"/>
          <w:i w:val="0"/>
          <w:noProof/>
          <w:color w:val="auto"/>
          <w:sz w:val="24"/>
          <w:szCs w:val="24"/>
        </w:rPr>
      </w:pPr>
      <w:bookmarkStart w:id="0" w:name="_Ref510104299"/>
      <w:r w:rsidRPr="00616DDB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Рисунок </w:t>
      </w:r>
      <w:r w:rsidR="000444D9" w:rsidRPr="00616DDB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begin"/>
      </w:r>
      <w:r w:rsidRPr="00616DDB">
        <w:rPr>
          <w:rFonts w:ascii="Times New Roman" w:hAnsi="Times New Roman" w:cs="Times New Roman"/>
          <w:i w:val="0"/>
          <w:color w:val="auto"/>
          <w:sz w:val="24"/>
          <w:szCs w:val="24"/>
        </w:rPr>
        <w:instrText xml:space="preserve"> SEQ Рисунок \* ARABIC </w:instrText>
      </w:r>
      <w:r w:rsidR="000444D9" w:rsidRPr="00616DDB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separate"/>
      </w:r>
      <w:r w:rsidR="006B0C3B">
        <w:rPr>
          <w:rFonts w:ascii="Times New Roman" w:hAnsi="Times New Roman" w:cs="Times New Roman"/>
          <w:i w:val="0"/>
          <w:noProof/>
          <w:color w:val="auto"/>
          <w:sz w:val="24"/>
          <w:szCs w:val="24"/>
        </w:rPr>
        <w:t>1</w:t>
      </w:r>
      <w:r w:rsidR="000444D9" w:rsidRPr="00616DDB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end"/>
      </w:r>
      <w:bookmarkEnd w:id="0"/>
      <w:r w:rsidRPr="00616DDB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- Прогноз цены за МВт электроэнергии для ветровой и солнечной</w:t>
      </w:r>
      <w:r w:rsidRPr="00616DDB">
        <w:rPr>
          <w:rFonts w:ascii="Times New Roman" w:hAnsi="Times New Roman" w:cs="Times New Roman"/>
          <w:i w:val="0"/>
          <w:noProof/>
          <w:color w:val="auto"/>
          <w:sz w:val="24"/>
          <w:szCs w:val="24"/>
        </w:rPr>
        <w:t xml:space="preserve"> энергетики</w:t>
      </w:r>
    </w:p>
    <w:p w:rsidR="00151EFC" w:rsidRDefault="00151EFC" w:rsidP="00CF22DA">
      <w:pPr>
        <w:pStyle w:val="2105"/>
      </w:pPr>
      <w:r w:rsidRPr="00E2791C">
        <w:t>Установки распределенной генерации электроэнергии в ближайшей перспективе достигнут широкого применения и будут удовлетворять большую час</w:t>
      </w:r>
      <w:r>
        <w:t xml:space="preserve">ть потребности в электроэнергии. Так, согласно проведенному исследованию компанией </w:t>
      </w:r>
      <w:r>
        <w:rPr>
          <w:lang w:val="en-US"/>
        </w:rPr>
        <w:t>IRENA</w:t>
      </w:r>
      <w:r w:rsidR="00F90519">
        <w:rPr>
          <w:rStyle w:val="af"/>
          <w:lang w:val="en-US"/>
        </w:rPr>
        <w:footnoteReference w:id="9"/>
      </w:r>
      <w:r>
        <w:t xml:space="preserve">, доля возобновляемой энергетики в Евросоюзе к 2030 году достигнет 30% </w:t>
      </w:r>
      <w:r w:rsidRPr="00120C7F">
        <w:t>(</w:t>
      </w:r>
      <w:fldSimple w:instr=" REF _Ref510007830 \h  \* MERGEFORMAT ">
        <w:r w:rsidR="00CF22DA" w:rsidRPr="00CF22DA">
          <w:t xml:space="preserve">Рисунок </w:t>
        </w:r>
        <w:r w:rsidR="00CF22DA" w:rsidRPr="00CF22DA">
          <w:rPr>
            <w:noProof/>
          </w:rPr>
          <w:t>2</w:t>
        </w:r>
      </w:fldSimple>
      <w:r>
        <w:t xml:space="preserve">), что откроет огромный рынок для производителей оборудования и интеллектуальных систем. </w:t>
      </w:r>
    </w:p>
    <w:p w:rsidR="00151EFC" w:rsidRDefault="00151EFC" w:rsidP="00151EFC">
      <w:pPr>
        <w:pStyle w:val="2105"/>
        <w:keepNext/>
        <w:ind w:firstLine="0"/>
      </w:pPr>
      <w:r>
        <w:rPr>
          <w:noProof/>
        </w:rPr>
        <w:lastRenderedPageBreak/>
        <w:drawing>
          <wp:inline distT="0" distB="0" distL="0" distR="0">
            <wp:extent cx="5940425" cy="3863975"/>
            <wp:effectExtent l="0" t="0" r="3175" b="317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51EFC" w:rsidRPr="00120C7F" w:rsidRDefault="00151EFC" w:rsidP="00CF22DA">
      <w:pPr>
        <w:pStyle w:val="ac"/>
        <w:ind w:firstLine="708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bookmarkStart w:id="1" w:name="_Ref510007830"/>
      <w:r w:rsidRPr="00120C7F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Рисунок </w:t>
      </w:r>
      <w:r w:rsidR="000444D9" w:rsidRPr="00120C7F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begin"/>
      </w:r>
      <w:r w:rsidRPr="00120C7F">
        <w:rPr>
          <w:rFonts w:ascii="Times New Roman" w:hAnsi="Times New Roman" w:cs="Times New Roman"/>
          <w:i w:val="0"/>
          <w:color w:val="auto"/>
          <w:sz w:val="24"/>
          <w:szCs w:val="24"/>
        </w:rPr>
        <w:instrText xml:space="preserve"> SEQ Рисунок \* ARABIC </w:instrText>
      </w:r>
      <w:r w:rsidR="000444D9" w:rsidRPr="00120C7F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separate"/>
      </w:r>
      <w:r w:rsidR="006B0C3B">
        <w:rPr>
          <w:rFonts w:ascii="Times New Roman" w:hAnsi="Times New Roman" w:cs="Times New Roman"/>
          <w:i w:val="0"/>
          <w:noProof/>
          <w:color w:val="auto"/>
          <w:sz w:val="24"/>
          <w:szCs w:val="24"/>
        </w:rPr>
        <w:t>2</w:t>
      </w:r>
      <w:r w:rsidR="000444D9" w:rsidRPr="00120C7F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end"/>
      </w:r>
      <w:bookmarkEnd w:id="1"/>
      <w:r w:rsidRPr="00120C7F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- Прогнозы доли возобновляемой энергетики в странах Европы на 2030 и 2020 годы</w:t>
      </w:r>
    </w:p>
    <w:p w:rsidR="00041857" w:rsidRPr="00B72EE5" w:rsidRDefault="00616DDB" w:rsidP="00CF22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Интенсивное развитие электротранспорта (согласно прогнозам, доля электромобилей к 2030 году составит порядка 30%</w:t>
      </w:r>
      <w:r w:rsidR="00F90519">
        <w:rPr>
          <w:rStyle w:val="af"/>
          <w:rFonts w:ascii="Times New Roman" w:hAnsi="Times New Roman" w:cs="Times New Roman"/>
          <w:sz w:val="24"/>
          <w:szCs w:val="24"/>
        </w:rPr>
        <w:footnoteReference w:id="10"/>
      </w:r>
      <w:r>
        <w:rPr>
          <w:rFonts w:ascii="Times New Roman" w:hAnsi="Times New Roman" w:cs="Times New Roman"/>
          <w:sz w:val="24"/>
          <w:szCs w:val="24"/>
        </w:rPr>
        <w:t xml:space="preserve">)  позволит в полной мере перейти к концепции </w:t>
      </w:r>
      <w:r w:rsidRPr="00616DDB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en-US"/>
        </w:rPr>
        <w:t>Vehicletogrid</w:t>
      </w:r>
      <w:r w:rsidRPr="00616DDB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т.е. использование встроенных высокоёмких аккумуляторов электроавтомобиля </w:t>
      </w:r>
      <w:r w:rsidR="004F2A1F">
        <w:rPr>
          <w:rFonts w:ascii="Times New Roman" w:hAnsi="Times New Roman" w:cs="Times New Roman"/>
          <w:sz w:val="24"/>
          <w:szCs w:val="24"/>
        </w:rPr>
        <w:t xml:space="preserve">в качестве дополнительного накопителя для дома. </w:t>
      </w:r>
      <w:r w:rsidR="00151EFC" w:rsidRPr="00151EFC">
        <w:rPr>
          <w:rFonts w:ascii="Times New Roman" w:hAnsi="Times New Roman" w:cs="Times New Roman"/>
          <w:sz w:val="24"/>
          <w:szCs w:val="24"/>
        </w:rPr>
        <w:t>Согласно прогнозу BNEF (Bloomberg New Energy Finance), глобальный рынок накопителей электроэнергии с 2016 по 2030 года увеличится в 6 раз и достигнет мощности 125 ГВт (или 305 ГВт/ч</w:t>
      </w:r>
      <w:r w:rsidR="00F90519">
        <w:rPr>
          <w:rStyle w:val="af"/>
          <w:rFonts w:ascii="Times New Roman" w:hAnsi="Times New Roman" w:cs="Times New Roman"/>
          <w:sz w:val="24"/>
          <w:szCs w:val="24"/>
        </w:rPr>
        <w:footnoteReference w:id="11"/>
      </w:r>
      <w:r w:rsidR="00151EFC" w:rsidRPr="00151EFC">
        <w:rPr>
          <w:rFonts w:ascii="Times New Roman" w:hAnsi="Times New Roman" w:cs="Times New Roman"/>
          <w:sz w:val="24"/>
          <w:szCs w:val="24"/>
        </w:rPr>
        <w:t xml:space="preserve">). </w:t>
      </w:r>
      <w:r w:rsidR="004F2A1F">
        <w:rPr>
          <w:rFonts w:ascii="Times New Roman" w:hAnsi="Times New Roman" w:cs="Times New Roman"/>
          <w:sz w:val="24"/>
          <w:szCs w:val="24"/>
        </w:rPr>
        <w:t>Развитие накопителей также позволит с большей эффективностью использовать потенциал воз</w:t>
      </w:r>
      <w:r w:rsidR="00B72EE5">
        <w:rPr>
          <w:rFonts w:ascii="Times New Roman" w:hAnsi="Times New Roman" w:cs="Times New Roman"/>
          <w:sz w:val="24"/>
          <w:szCs w:val="24"/>
        </w:rPr>
        <w:t xml:space="preserve">обновляемых источников энергии, а у потребителей появится возможность продавать электроэнергию друг другу, что повысит спрос на системы, способные оценивать текущий спрос и торговать электроэнергий с большей выгодой. </w:t>
      </w:r>
    </w:p>
    <w:p w:rsidR="00584459" w:rsidRDefault="004F2A1F" w:rsidP="00CF22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EE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Однако, оптимизация расходов ресурсов не должна ограничиваться электроэнергией. </w:t>
      </w:r>
      <w:r w:rsidR="00863D79">
        <w:rPr>
          <w:rFonts w:ascii="Times New Roman" w:hAnsi="Times New Roman" w:cs="Times New Roman"/>
          <w:sz w:val="24"/>
          <w:szCs w:val="24"/>
        </w:rPr>
        <w:t xml:space="preserve">Эффективное управление должно осуществляться всеми доступными ресурсами. Согласно качественным оценкам, значительной частью расходов владельцев </w:t>
      </w:r>
      <w:r w:rsidR="00863D79">
        <w:rPr>
          <w:rFonts w:ascii="Times New Roman" w:hAnsi="Times New Roman" w:cs="Times New Roman"/>
          <w:sz w:val="24"/>
          <w:szCs w:val="24"/>
        </w:rPr>
        <w:lastRenderedPageBreak/>
        <w:t xml:space="preserve">домохозяйств как в западных странах, так и в странах СНГ, является расходы на газ и отопление. Поэтому уже завтра будет высокий спрос на системы </w:t>
      </w:r>
      <w:r w:rsidR="00B72EE5">
        <w:rPr>
          <w:rFonts w:ascii="Times New Roman" w:hAnsi="Times New Roman" w:cs="Times New Roman"/>
          <w:sz w:val="24"/>
          <w:szCs w:val="24"/>
        </w:rPr>
        <w:t>управления, способные управлять расходом всех доступных энергоресурсов.</w:t>
      </w:r>
      <w:r w:rsidR="00584459">
        <w:rPr>
          <w:rFonts w:ascii="Times New Roman" w:hAnsi="Times New Roman" w:cs="Times New Roman"/>
          <w:sz w:val="24"/>
          <w:szCs w:val="24"/>
        </w:rPr>
        <w:t xml:space="preserve"> По данным отчета аналитической компании</w:t>
      </w:r>
      <w:r w:rsidR="00584459" w:rsidRPr="00584459">
        <w:rPr>
          <w:rFonts w:ascii="Times New Roman" w:hAnsi="Times New Roman" w:cs="Times New Roman"/>
          <w:sz w:val="24"/>
          <w:szCs w:val="24"/>
        </w:rPr>
        <w:t xml:space="preserve"> J'son &amp; Partners Consulting</w:t>
      </w:r>
      <w:r w:rsidR="009A6EA3">
        <w:rPr>
          <w:rFonts w:ascii="Times New Roman" w:hAnsi="Times New Roman" w:cs="Times New Roman"/>
          <w:sz w:val="24"/>
          <w:szCs w:val="24"/>
        </w:rPr>
        <w:t xml:space="preserve"> к 2025 году каждое десятое домохозяйство во всем мире будет снабжены устройствами «умного дома»</w:t>
      </w:r>
      <w:r w:rsidR="00F90519">
        <w:rPr>
          <w:rStyle w:val="af"/>
          <w:rFonts w:ascii="Times New Roman" w:hAnsi="Times New Roman" w:cs="Times New Roman"/>
          <w:sz w:val="24"/>
          <w:szCs w:val="24"/>
        </w:rPr>
        <w:footnoteReference w:id="12"/>
      </w:r>
      <w:r w:rsidR="009A6EA3">
        <w:rPr>
          <w:rFonts w:ascii="Times New Roman" w:hAnsi="Times New Roman" w:cs="Times New Roman"/>
          <w:sz w:val="24"/>
          <w:szCs w:val="24"/>
        </w:rPr>
        <w:t xml:space="preserve">. В 2017 году объем глобального рынка технологий </w:t>
      </w:r>
      <w:r w:rsidR="009A6EA3">
        <w:rPr>
          <w:rFonts w:ascii="Times New Roman" w:hAnsi="Times New Roman" w:cs="Times New Roman"/>
          <w:sz w:val="24"/>
          <w:szCs w:val="24"/>
          <w:lang w:val="en-US"/>
        </w:rPr>
        <w:t>IOT</w:t>
      </w:r>
      <w:r w:rsidR="00E0405D">
        <w:rPr>
          <w:rFonts w:ascii="Times New Roman" w:hAnsi="Times New Roman" w:cs="Times New Roman"/>
          <w:sz w:val="24"/>
          <w:szCs w:val="24"/>
        </w:rPr>
        <w:t xml:space="preserve"> </w:t>
      </w:r>
      <w:r w:rsidR="009A6EA3">
        <w:rPr>
          <w:rFonts w:ascii="Times New Roman" w:hAnsi="Times New Roman" w:cs="Times New Roman"/>
          <w:sz w:val="24"/>
          <w:szCs w:val="24"/>
        </w:rPr>
        <w:t xml:space="preserve">оценивается в 14,7 млрд долларов и с каждым годом эта цифра будет увеличиваться. </w:t>
      </w:r>
    </w:p>
    <w:p w:rsidR="009A6EA3" w:rsidRDefault="009A6EA3" w:rsidP="009A6EA3">
      <w:pPr>
        <w:pStyle w:val="2105"/>
      </w:pPr>
      <w:r>
        <w:t xml:space="preserve">На основании выше изложенного, можно сделать вывод, что западные страны активно инвестируют в развитие технологий интеллектуальной энергетики и ожидают стремительный рост доли возобновляемой энергетики, систем накопления и интеллектуальных систем управления. Поэтому, для недопущения отставания России в технологическом и экономическом плане, необходимо </w:t>
      </w:r>
      <w:r w:rsidR="00BF0DEC">
        <w:t>предпринять</w:t>
      </w:r>
      <w:r>
        <w:t xml:space="preserve"> пакет мер, направленных на развитие технологии производства на основе распределенных источников энергии (в том числе и возобновляемых), систем хранения электроэнергии, интеллектуальных систем управления, развитие цифровых технологий управления и контроля за оборудованием. </w:t>
      </w:r>
    </w:p>
    <w:p w:rsidR="00557CEE" w:rsidRDefault="00557CEE" w:rsidP="009A6EA3">
      <w:pPr>
        <w:pStyle w:val="2105"/>
      </w:pPr>
    </w:p>
    <w:p w:rsidR="00F90519" w:rsidRPr="00F45146" w:rsidRDefault="00F90519" w:rsidP="009A6EA3">
      <w:pPr>
        <w:pStyle w:val="2105"/>
      </w:pPr>
    </w:p>
    <w:p w:rsidR="00C84D52" w:rsidRDefault="00E0405D" w:rsidP="00CF22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2B0847" w:rsidRPr="002B0847">
        <w:rPr>
          <w:rFonts w:ascii="Times New Roman" w:hAnsi="Times New Roman" w:cs="Times New Roman"/>
          <w:sz w:val="24"/>
          <w:szCs w:val="24"/>
        </w:rPr>
        <w:t xml:space="preserve">. </w:t>
      </w:r>
      <w:r w:rsidR="003656B6">
        <w:rPr>
          <w:rFonts w:ascii="Times New Roman" w:hAnsi="Times New Roman" w:cs="Times New Roman"/>
          <w:sz w:val="24"/>
          <w:szCs w:val="24"/>
        </w:rPr>
        <w:t>К</w:t>
      </w:r>
      <w:r w:rsidR="002B0847">
        <w:rPr>
          <w:rFonts w:ascii="Times New Roman" w:hAnsi="Times New Roman" w:cs="Times New Roman"/>
          <w:sz w:val="24"/>
          <w:szCs w:val="24"/>
        </w:rPr>
        <w:t>лючевые технологии направления</w:t>
      </w:r>
    </w:p>
    <w:p w:rsidR="00610B7D" w:rsidRDefault="00610B7D" w:rsidP="00CF22DA">
      <w:pPr>
        <w:tabs>
          <w:tab w:val="left" w:pos="36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Рассматриваемые технологии можно разделить на три уровня: уровень первичного оборудования, уровень сбора, обработки и передачи данных, и уровень облачных платформ</w:t>
      </w:r>
      <w:r w:rsidR="003656B6">
        <w:rPr>
          <w:rFonts w:ascii="Times New Roman" w:hAnsi="Times New Roman" w:cs="Times New Roman"/>
          <w:sz w:val="24"/>
          <w:szCs w:val="24"/>
        </w:rPr>
        <w:t>.</w:t>
      </w:r>
    </w:p>
    <w:p w:rsidR="003656B6" w:rsidRDefault="003656B6" w:rsidP="00CF22DA">
      <w:pPr>
        <w:tabs>
          <w:tab w:val="left" w:pos="36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Уровень первичного оборудования</w:t>
      </w:r>
    </w:p>
    <w:p w:rsidR="00CF3C8F" w:rsidRDefault="003656B6" w:rsidP="00CF22DA">
      <w:pPr>
        <w:tabs>
          <w:tab w:val="left" w:pos="36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CF3C8F" w:rsidRPr="00CF3C8F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Устройства распределенной генерации</w:t>
      </w:r>
    </w:p>
    <w:p w:rsidR="00CF3C8F" w:rsidRDefault="00CF3C8F" w:rsidP="00CF22D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Термин распределенная генерация описывает группу устройств, генерирующих электроэнергию в непосредственной близости от места, в котором она будет потребляться. Распределенная генерация может использоваться для одного потребителя (например, для частного дома или бизнеса), или </w:t>
      </w:r>
      <w:r w:rsidR="002514FE">
        <w:rPr>
          <w:rFonts w:ascii="Times New Roman" w:hAnsi="Times New Roman" w:cs="Times New Roman"/>
          <w:sz w:val="24"/>
          <w:szCs w:val="24"/>
        </w:rPr>
        <w:t>быть частью микроэнергосистемы (</w:t>
      </w:r>
      <w:r w:rsidR="002514FE">
        <w:rPr>
          <w:rFonts w:ascii="Times New Roman" w:hAnsi="Times New Roman" w:cs="Times New Roman"/>
          <w:sz w:val="24"/>
          <w:szCs w:val="24"/>
          <w:lang w:val="en-US"/>
        </w:rPr>
        <w:t>microgrid</w:t>
      </w:r>
      <w:r w:rsidR="002514FE" w:rsidRPr="002514FE">
        <w:rPr>
          <w:rFonts w:ascii="Times New Roman" w:hAnsi="Times New Roman" w:cs="Times New Roman"/>
          <w:sz w:val="24"/>
          <w:szCs w:val="24"/>
        </w:rPr>
        <w:t>)</w:t>
      </w:r>
      <w:r w:rsidR="00BF0DEC">
        <w:rPr>
          <w:rFonts w:ascii="Times New Roman" w:hAnsi="Times New Roman" w:cs="Times New Roman"/>
          <w:sz w:val="24"/>
          <w:szCs w:val="24"/>
        </w:rPr>
        <w:t xml:space="preserve">. </w:t>
      </w:r>
      <w:r w:rsidR="002514FE" w:rsidRPr="002514FE">
        <w:rPr>
          <w:rFonts w:ascii="Times New Roman" w:hAnsi="Times New Roman" w:cs="Times New Roman"/>
          <w:sz w:val="24"/>
          <w:szCs w:val="24"/>
        </w:rPr>
        <w:t xml:space="preserve">При подключении </w:t>
      </w:r>
      <w:r w:rsidR="002514FE">
        <w:rPr>
          <w:rFonts w:ascii="Times New Roman" w:hAnsi="Times New Roman" w:cs="Times New Roman"/>
          <w:sz w:val="24"/>
          <w:szCs w:val="24"/>
        </w:rPr>
        <w:t>на низшем напряжении</w:t>
      </w:r>
      <w:r w:rsidR="002514FE" w:rsidRPr="002514FE">
        <w:rPr>
          <w:rFonts w:ascii="Times New Roman" w:hAnsi="Times New Roman" w:cs="Times New Roman"/>
          <w:sz w:val="24"/>
          <w:szCs w:val="24"/>
        </w:rPr>
        <w:t xml:space="preserve"> распределенная генерация может помочь </w:t>
      </w:r>
      <w:r w:rsidR="002514FE" w:rsidRPr="002514FE">
        <w:rPr>
          <w:rFonts w:ascii="Times New Roman" w:hAnsi="Times New Roman" w:cs="Times New Roman"/>
          <w:sz w:val="24"/>
          <w:szCs w:val="24"/>
        </w:rPr>
        <w:lastRenderedPageBreak/>
        <w:t xml:space="preserve">обеспечить </w:t>
      </w:r>
      <w:r w:rsidR="002514FE">
        <w:rPr>
          <w:rFonts w:ascii="Times New Roman" w:hAnsi="Times New Roman" w:cs="Times New Roman"/>
          <w:sz w:val="24"/>
          <w:szCs w:val="24"/>
        </w:rPr>
        <w:t>передачу</w:t>
      </w:r>
      <w:r w:rsidR="002514FE" w:rsidRPr="002514FE">
        <w:rPr>
          <w:rFonts w:ascii="Times New Roman" w:hAnsi="Times New Roman" w:cs="Times New Roman"/>
          <w:sz w:val="24"/>
          <w:szCs w:val="24"/>
        </w:rPr>
        <w:t xml:space="preserve"> электроэнергии дополнительным потребителям и снизить потери </w:t>
      </w:r>
      <w:r w:rsidR="002514FE">
        <w:rPr>
          <w:rFonts w:ascii="Times New Roman" w:hAnsi="Times New Roman" w:cs="Times New Roman"/>
          <w:sz w:val="24"/>
          <w:szCs w:val="24"/>
        </w:rPr>
        <w:t>на линиях передач</w:t>
      </w:r>
      <w:r w:rsidR="002514FE" w:rsidRPr="002514FE">
        <w:rPr>
          <w:rFonts w:ascii="Times New Roman" w:hAnsi="Times New Roman" w:cs="Times New Roman"/>
          <w:sz w:val="24"/>
          <w:szCs w:val="24"/>
        </w:rPr>
        <w:t>.</w:t>
      </w:r>
    </w:p>
    <w:p w:rsidR="00985FE0" w:rsidRDefault="00BF0DEC" w:rsidP="00CF22D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направления интеллектуальных систем энергоснабжения наибольший интерес взывает возобновляемые источники электроэнергии. </w:t>
      </w:r>
      <w:r w:rsidR="002514FE">
        <w:rPr>
          <w:rFonts w:ascii="Times New Roman" w:hAnsi="Times New Roman" w:cs="Times New Roman"/>
          <w:sz w:val="24"/>
          <w:szCs w:val="24"/>
        </w:rPr>
        <w:t xml:space="preserve">К возобновляемым источникам электроэнергии относятся генерирующие установки, не использующие углеводородное топливо. К их числу относятся: </w:t>
      </w:r>
    </w:p>
    <w:p w:rsidR="00985FE0" w:rsidRPr="00985FE0" w:rsidRDefault="002514FE" w:rsidP="00CF22DA">
      <w:pPr>
        <w:pStyle w:val="a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FE0">
        <w:rPr>
          <w:rFonts w:ascii="Times New Roman" w:hAnsi="Times New Roman" w:cs="Times New Roman"/>
          <w:sz w:val="24"/>
          <w:szCs w:val="24"/>
        </w:rPr>
        <w:t>солнечные па</w:t>
      </w:r>
      <w:r w:rsidR="00985FE0" w:rsidRPr="00985FE0">
        <w:rPr>
          <w:rFonts w:ascii="Times New Roman" w:hAnsi="Times New Roman" w:cs="Times New Roman"/>
          <w:sz w:val="24"/>
          <w:szCs w:val="24"/>
        </w:rPr>
        <w:t>нели</w:t>
      </w:r>
      <w:r w:rsidR="00E0405D">
        <w:rPr>
          <w:rFonts w:ascii="Times New Roman" w:hAnsi="Times New Roman" w:cs="Times New Roman"/>
          <w:sz w:val="24"/>
          <w:szCs w:val="24"/>
        </w:rPr>
        <w:t>;</w:t>
      </w:r>
    </w:p>
    <w:p w:rsidR="00985FE0" w:rsidRPr="00985FE0" w:rsidRDefault="002514FE" w:rsidP="00CF22DA">
      <w:pPr>
        <w:pStyle w:val="a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FE0">
        <w:rPr>
          <w:rFonts w:ascii="Times New Roman" w:hAnsi="Times New Roman" w:cs="Times New Roman"/>
          <w:sz w:val="24"/>
          <w:szCs w:val="24"/>
        </w:rPr>
        <w:t>ветрогенераторы</w:t>
      </w:r>
      <w:r w:rsidR="00E0405D">
        <w:rPr>
          <w:rFonts w:ascii="Times New Roman" w:hAnsi="Times New Roman" w:cs="Times New Roman"/>
          <w:sz w:val="24"/>
          <w:szCs w:val="24"/>
        </w:rPr>
        <w:t>;</w:t>
      </w:r>
    </w:p>
    <w:p w:rsidR="00985FE0" w:rsidRPr="00985FE0" w:rsidRDefault="00E0405D" w:rsidP="00CF22DA">
      <w:pPr>
        <w:pStyle w:val="a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геотермальные генераторы;</w:t>
      </w:r>
    </w:p>
    <w:p w:rsidR="00985FE0" w:rsidRPr="00985FE0" w:rsidRDefault="00985FE0" w:rsidP="00CF22DA">
      <w:pPr>
        <w:pStyle w:val="a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волновые генераторы</w:t>
      </w:r>
      <w:r w:rsidR="00E0405D">
        <w:rPr>
          <w:rFonts w:ascii="Times New Roman" w:hAnsi="Times New Roman" w:cs="Times New Roman"/>
          <w:sz w:val="24"/>
          <w:szCs w:val="24"/>
        </w:rPr>
        <w:t>.</w:t>
      </w:r>
    </w:p>
    <w:p w:rsidR="00985FE0" w:rsidRPr="00985FE0" w:rsidRDefault="00985FE0" w:rsidP="00CF22D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5FE0">
        <w:rPr>
          <w:rFonts w:ascii="Times New Roman" w:hAnsi="Times New Roman" w:cs="Times New Roman"/>
          <w:sz w:val="24"/>
          <w:szCs w:val="24"/>
        </w:rPr>
        <w:t>Основными преимуществами возобновляемых</w:t>
      </w:r>
      <w:r>
        <w:rPr>
          <w:rFonts w:ascii="Times New Roman" w:hAnsi="Times New Roman" w:cs="Times New Roman"/>
          <w:sz w:val="24"/>
          <w:szCs w:val="24"/>
        </w:rPr>
        <w:t xml:space="preserve"> источников электроэнергии</w:t>
      </w:r>
      <w:r w:rsidR="004C43C2">
        <w:rPr>
          <w:rFonts w:ascii="Times New Roman" w:hAnsi="Times New Roman" w:cs="Times New Roman"/>
          <w:sz w:val="24"/>
          <w:szCs w:val="24"/>
        </w:rPr>
        <w:t xml:space="preserve"> (ВИЭ)</w:t>
      </w:r>
      <w:r>
        <w:rPr>
          <w:rFonts w:ascii="Times New Roman" w:hAnsi="Times New Roman" w:cs="Times New Roman"/>
          <w:sz w:val="24"/>
          <w:szCs w:val="24"/>
        </w:rPr>
        <w:t xml:space="preserve"> являю</w:t>
      </w:r>
      <w:r w:rsidRPr="00985FE0">
        <w:rPr>
          <w:rFonts w:ascii="Times New Roman" w:hAnsi="Times New Roman" w:cs="Times New Roman"/>
          <w:sz w:val="24"/>
          <w:szCs w:val="24"/>
        </w:rPr>
        <w:t>тся:</w:t>
      </w:r>
    </w:p>
    <w:p w:rsidR="00985FE0" w:rsidRPr="00985FE0" w:rsidRDefault="00985FE0" w:rsidP="00CF22DA">
      <w:pPr>
        <w:pStyle w:val="a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FE0">
        <w:rPr>
          <w:rFonts w:ascii="Times New Roman" w:hAnsi="Times New Roman" w:cs="Times New Roman"/>
          <w:sz w:val="24"/>
          <w:szCs w:val="24"/>
        </w:rPr>
        <w:t>Отсутствие выбросов в атмосферу, которые имеют место при работе генерирующих установок электростанций на углеводородном топливе</w:t>
      </w:r>
    </w:p>
    <w:p w:rsidR="00985FE0" w:rsidRDefault="00985FE0" w:rsidP="00CF22DA">
      <w:pPr>
        <w:pStyle w:val="a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FE0">
        <w:rPr>
          <w:rFonts w:ascii="Times New Roman" w:hAnsi="Times New Roman" w:cs="Times New Roman"/>
          <w:sz w:val="24"/>
          <w:szCs w:val="24"/>
        </w:rPr>
        <w:t>Возможность повсеместного использования данных устройств в том числе для личного использования</w:t>
      </w:r>
    </w:p>
    <w:p w:rsidR="00BF0DEC" w:rsidRPr="00DA554E" w:rsidRDefault="00BF0DEC" w:rsidP="00CF22DA">
      <w:pPr>
        <w:pStyle w:val="a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54E">
        <w:rPr>
          <w:rFonts w:ascii="Times New Roman" w:hAnsi="Times New Roman" w:cs="Times New Roman"/>
          <w:sz w:val="24"/>
          <w:szCs w:val="24"/>
        </w:rPr>
        <w:t>Уменьшение потерь при передаче от производителя электроэнергии к конечному потребителю</w:t>
      </w:r>
    </w:p>
    <w:p w:rsidR="00BF0DEC" w:rsidRPr="00DA554E" w:rsidRDefault="00BF0DEC" w:rsidP="00CF22DA">
      <w:pPr>
        <w:pStyle w:val="a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54E">
        <w:rPr>
          <w:rFonts w:ascii="Times New Roman" w:hAnsi="Times New Roman" w:cs="Times New Roman"/>
          <w:sz w:val="24"/>
          <w:szCs w:val="24"/>
        </w:rPr>
        <w:t>Уменьшение зависимости от централизованного электроснабжения, как следствие – повышение надежности электроснабжения</w:t>
      </w:r>
    </w:p>
    <w:p w:rsidR="00BF0DEC" w:rsidRPr="00BF0DEC" w:rsidRDefault="00BF0DEC" w:rsidP="00CF22DA">
      <w:pPr>
        <w:pStyle w:val="a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54E">
        <w:rPr>
          <w:rFonts w:ascii="Times New Roman" w:hAnsi="Times New Roman" w:cs="Times New Roman"/>
          <w:sz w:val="24"/>
          <w:szCs w:val="24"/>
        </w:rPr>
        <w:t xml:space="preserve">Возможность электрификации труднодоступных районов, куда подведение централизованного электроснабжения невозможно или экономически невыгодно. </w:t>
      </w:r>
    </w:p>
    <w:p w:rsidR="00985FE0" w:rsidRDefault="00985FE0" w:rsidP="00CF22DA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недостаткам </w:t>
      </w:r>
      <w:r w:rsidR="004C43C2">
        <w:rPr>
          <w:rFonts w:ascii="Times New Roman" w:hAnsi="Times New Roman" w:cs="Times New Roman"/>
          <w:sz w:val="24"/>
          <w:szCs w:val="24"/>
        </w:rPr>
        <w:t>ВИЭ относятся:</w:t>
      </w:r>
    </w:p>
    <w:p w:rsidR="002514FE" w:rsidRDefault="004C43C2" w:rsidP="00CF22DA">
      <w:pPr>
        <w:pStyle w:val="a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5BB">
        <w:rPr>
          <w:rFonts w:ascii="Times New Roman" w:hAnsi="Times New Roman" w:cs="Times New Roman"/>
          <w:sz w:val="24"/>
          <w:szCs w:val="24"/>
        </w:rPr>
        <w:t>Отсутствие постоянной выработки электроэнергии: так как выработка электроэнергии всецело зависит от погодных условий, невозможно генерировать электроэнергию ночью при использовании солнечных панелей или в безветренную погоду при использовании ветрогенераторов.</w:t>
      </w:r>
    </w:p>
    <w:p w:rsidR="00C705BB" w:rsidRPr="00C705BB" w:rsidRDefault="00C705BB" w:rsidP="00CF22DA">
      <w:pPr>
        <w:pStyle w:val="a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Малый коэффициент полезного действия. </w:t>
      </w:r>
    </w:p>
    <w:p w:rsidR="00C705BB" w:rsidRDefault="00DA554E" w:rsidP="00CF22D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Главным недостатком распределенной генерации является сложность управления перетоками мощности при наличии нескольких генерирующих установок, что может привести к неправильной работе релейной защиты, и, как следствие, отключению потребителей.</w:t>
      </w:r>
    </w:p>
    <w:p w:rsidR="003656B6" w:rsidRDefault="003656B6" w:rsidP="00CF22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</w:t>
      </w:r>
      <w:r w:rsidR="00DA554E">
        <w:rPr>
          <w:rFonts w:ascii="Times New Roman" w:hAnsi="Times New Roman" w:cs="Times New Roman"/>
          <w:sz w:val="24"/>
          <w:szCs w:val="24"/>
        </w:rPr>
        <w:t>) Накопители электроэнергии</w:t>
      </w:r>
    </w:p>
    <w:p w:rsidR="00DA554E" w:rsidRPr="00452ED1" w:rsidRDefault="003656B6" w:rsidP="00CF22D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Накопители электроэнергии </w:t>
      </w:r>
      <w:r w:rsidR="00DA554E">
        <w:rPr>
          <w:rFonts w:ascii="Times New Roman" w:hAnsi="Times New Roman" w:cs="Times New Roman"/>
          <w:sz w:val="24"/>
          <w:szCs w:val="24"/>
        </w:rPr>
        <w:t xml:space="preserve">– важнейший элемент интеллектуальных сетей. </w:t>
      </w:r>
      <w:r w:rsidR="003533DE">
        <w:rPr>
          <w:rFonts w:ascii="Times New Roman" w:hAnsi="Times New Roman" w:cs="Times New Roman"/>
          <w:sz w:val="24"/>
          <w:szCs w:val="24"/>
        </w:rPr>
        <w:t xml:space="preserve">Накопители электроэнергии позволяют разнести процесс генерации и потребления электроэнергии во времени, тем самым повышая эффективность возобновляемых источников электроэнергии. Накопители электроэнергии активно используются в рамках концепции </w:t>
      </w:r>
      <w:r w:rsidR="003533DE">
        <w:rPr>
          <w:rFonts w:ascii="Times New Roman" w:hAnsi="Times New Roman" w:cs="Times New Roman"/>
          <w:sz w:val="24"/>
          <w:szCs w:val="24"/>
          <w:lang w:val="en-US"/>
        </w:rPr>
        <w:t>microgrid</w:t>
      </w:r>
      <w:r w:rsidR="003533DE" w:rsidRPr="003533DE">
        <w:rPr>
          <w:rFonts w:ascii="Times New Roman" w:hAnsi="Times New Roman" w:cs="Times New Roman"/>
          <w:sz w:val="24"/>
          <w:szCs w:val="24"/>
        </w:rPr>
        <w:t xml:space="preserve">, </w:t>
      </w:r>
      <w:r w:rsidR="003533DE">
        <w:rPr>
          <w:rFonts w:ascii="Times New Roman" w:hAnsi="Times New Roman" w:cs="Times New Roman"/>
          <w:sz w:val="24"/>
          <w:szCs w:val="24"/>
        </w:rPr>
        <w:t>позволяя потребителям реализовать технологии ценозависимого спроса (</w:t>
      </w:r>
      <w:r w:rsidR="003533DE">
        <w:rPr>
          <w:rFonts w:ascii="Times New Roman" w:hAnsi="Times New Roman" w:cs="Times New Roman"/>
          <w:sz w:val="24"/>
          <w:szCs w:val="24"/>
          <w:lang w:val="en-US"/>
        </w:rPr>
        <w:t>demandresponse</w:t>
      </w:r>
      <w:r w:rsidR="003533DE">
        <w:rPr>
          <w:rFonts w:ascii="Times New Roman" w:hAnsi="Times New Roman" w:cs="Times New Roman"/>
          <w:sz w:val="24"/>
          <w:szCs w:val="24"/>
        </w:rPr>
        <w:t>) т.е. накапливать электроэнергию в периоды низкой цены на электроэнергию и срабатываться в периоды высокой цены. Развитие технологий систем управления в будущем позволят участникам рынка передавать электроэнергию между накопителями в рамках микроэнергосистемы, тем самым реали</w:t>
      </w:r>
      <w:r w:rsidR="00452ED1">
        <w:rPr>
          <w:rFonts w:ascii="Times New Roman" w:hAnsi="Times New Roman" w:cs="Times New Roman"/>
          <w:sz w:val="24"/>
          <w:szCs w:val="24"/>
        </w:rPr>
        <w:t>зовывается концепция «Интернет Энергии» (</w:t>
      </w:r>
      <w:r w:rsidR="00452ED1">
        <w:rPr>
          <w:rFonts w:ascii="Times New Roman" w:hAnsi="Times New Roman" w:cs="Times New Roman"/>
          <w:sz w:val="24"/>
          <w:szCs w:val="24"/>
          <w:lang w:val="en-US"/>
        </w:rPr>
        <w:t>InternetofEnergy</w:t>
      </w:r>
      <w:r w:rsidR="00452ED1" w:rsidRPr="00452ED1">
        <w:rPr>
          <w:rFonts w:ascii="Times New Roman" w:hAnsi="Times New Roman" w:cs="Times New Roman"/>
          <w:sz w:val="24"/>
          <w:szCs w:val="24"/>
        </w:rPr>
        <w:t>)</w:t>
      </w:r>
      <w:r w:rsidR="00F90519">
        <w:rPr>
          <w:rStyle w:val="af"/>
          <w:rFonts w:ascii="Times New Roman" w:hAnsi="Times New Roman" w:cs="Times New Roman"/>
          <w:sz w:val="24"/>
          <w:szCs w:val="24"/>
        </w:rPr>
        <w:footnoteReference w:id="13"/>
      </w:r>
      <w:r w:rsidR="00452ED1" w:rsidRPr="00452ED1">
        <w:rPr>
          <w:rFonts w:ascii="Times New Roman" w:hAnsi="Times New Roman" w:cs="Times New Roman"/>
          <w:sz w:val="24"/>
          <w:szCs w:val="24"/>
        </w:rPr>
        <w:t>.</w:t>
      </w:r>
    </w:p>
    <w:p w:rsidR="00452ED1" w:rsidRDefault="00452ED1" w:rsidP="00CF22D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накопителей позволяет достичь:</w:t>
      </w:r>
    </w:p>
    <w:p w:rsidR="00452ED1" w:rsidRPr="00452ED1" w:rsidRDefault="00452ED1" w:rsidP="00CF22DA">
      <w:pPr>
        <w:pStyle w:val="aa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ED1">
        <w:rPr>
          <w:rFonts w:ascii="Times New Roman" w:hAnsi="Times New Roman" w:cs="Times New Roman"/>
          <w:sz w:val="24"/>
          <w:szCs w:val="24"/>
        </w:rPr>
        <w:t xml:space="preserve">Выравнивание графиков нагрузки в сети за счет применения технологии </w:t>
      </w:r>
      <w:r w:rsidRPr="00452ED1">
        <w:rPr>
          <w:rFonts w:ascii="Times New Roman" w:hAnsi="Times New Roman" w:cs="Times New Roman"/>
          <w:sz w:val="24"/>
          <w:szCs w:val="24"/>
          <w:lang w:val="en-US"/>
        </w:rPr>
        <w:t>DemandResponse</w:t>
      </w:r>
    </w:p>
    <w:p w:rsidR="00452ED1" w:rsidRPr="00452ED1" w:rsidRDefault="00452ED1" w:rsidP="00CF22DA">
      <w:pPr>
        <w:pStyle w:val="aa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ED1">
        <w:rPr>
          <w:rFonts w:ascii="Times New Roman" w:hAnsi="Times New Roman" w:cs="Times New Roman"/>
          <w:sz w:val="24"/>
          <w:szCs w:val="24"/>
        </w:rPr>
        <w:t xml:space="preserve">Обеспечение бесперебойного питания потребителей в случае использования возобновляемых источников электроэнергии, т.е. повышается надежность электроснабжения </w:t>
      </w:r>
    </w:p>
    <w:p w:rsidR="00452ED1" w:rsidRDefault="00452ED1" w:rsidP="00CF22DA">
      <w:pPr>
        <w:pStyle w:val="aa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ED1">
        <w:rPr>
          <w:rFonts w:ascii="Times New Roman" w:hAnsi="Times New Roman" w:cs="Times New Roman"/>
          <w:sz w:val="24"/>
          <w:szCs w:val="24"/>
        </w:rPr>
        <w:t>Повышение качества электроэнергии и возможность регулирования частоты</w:t>
      </w:r>
    </w:p>
    <w:p w:rsidR="003656B6" w:rsidRDefault="003656B6" w:rsidP="00CF22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D21B5">
        <w:rPr>
          <w:rFonts w:ascii="Times New Roman" w:hAnsi="Times New Roman" w:cs="Times New Roman"/>
          <w:sz w:val="24"/>
          <w:szCs w:val="24"/>
        </w:rPr>
        <w:t xml:space="preserve">) Автономное газовое снабжение </w:t>
      </w:r>
    </w:p>
    <w:p w:rsidR="00452ED1" w:rsidRDefault="003656B6" w:rsidP="00CF22D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Автономное газовое снабжение </w:t>
      </w:r>
      <w:r w:rsidR="004D21B5">
        <w:rPr>
          <w:rFonts w:ascii="Times New Roman" w:hAnsi="Times New Roman" w:cs="Times New Roman"/>
          <w:sz w:val="24"/>
          <w:szCs w:val="24"/>
        </w:rPr>
        <w:t xml:space="preserve">– технология, позволяющая газифицировать объект при отсутствии центральной газовой магистрали. </w:t>
      </w:r>
      <w:r w:rsidR="005379CC">
        <w:rPr>
          <w:rFonts w:ascii="Times New Roman" w:hAnsi="Times New Roman" w:cs="Times New Roman"/>
          <w:sz w:val="24"/>
          <w:szCs w:val="24"/>
        </w:rPr>
        <w:t>Применение данной технологии в совокупности сдатчиками тепла, позволят интеллектуальной системе управлять расходом газа в реальном времени, опираясь на прогноз погоды и множество других факторов. Совокупность данных решений позволит существенно экономить средства потребителя</w:t>
      </w:r>
    </w:p>
    <w:p w:rsidR="003656B6" w:rsidRDefault="003656B6" w:rsidP="00CF22D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79CC" w:rsidRDefault="003656B6" w:rsidP="00CF22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Уровень сбора, обработки и передачи данных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656B6" w:rsidRDefault="003656B6" w:rsidP="00CF22DA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5379CC" w:rsidRPr="00B12565">
        <w:rPr>
          <w:rFonts w:ascii="Times New Roman" w:hAnsi="Times New Roman" w:cs="Times New Roman"/>
          <w:sz w:val="24"/>
          <w:szCs w:val="24"/>
        </w:rPr>
        <w:t>)</w:t>
      </w:r>
      <w:r w:rsidR="005379CC">
        <w:rPr>
          <w:rFonts w:ascii="Times New Roman" w:hAnsi="Times New Roman" w:cs="Times New Roman"/>
          <w:sz w:val="24"/>
          <w:szCs w:val="24"/>
        </w:rPr>
        <w:t xml:space="preserve"> Интеллектуальное устройство потребителя  </w:t>
      </w:r>
    </w:p>
    <w:p w:rsidR="00B12565" w:rsidRDefault="003656B6" w:rsidP="00CF22DA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Это устройство позволяет</w:t>
      </w:r>
      <w:r w:rsidR="00B12565">
        <w:rPr>
          <w:rFonts w:ascii="Times New Roman" w:hAnsi="Times New Roman" w:cs="Times New Roman"/>
          <w:sz w:val="24"/>
          <w:szCs w:val="24"/>
        </w:rPr>
        <w:t xml:space="preserve"> осуществлять функции контроля и мониторинга всей системы</w:t>
      </w:r>
      <w:r w:rsidR="005379CC">
        <w:rPr>
          <w:rFonts w:ascii="Times New Roman" w:hAnsi="Times New Roman" w:cs="Times New Roman"/>
          <w:sz w:val="24"/>
          <w:szCs w:val="24"/>
        </w:rPr>
        <w:t>, регулировани</w:t>
      </w:r>
      <w:r w:rsidR="00B12565">
        <w:rPr>
          <w:rFonts w:ascii="Times New Roman" w:hAnsi="Times New Roman" w:cs="Times New Roman"/>
          <w:sz w:val="24"/>
          <w:szCs w:val="24"/>
        </w:rPr>
        <w:t>я настроек оборудования, сигнализации и</w:t>
      </w:r>
      <w:r w:rsidR="005379CC">
        <w:rPr>
          <w:rFonts w:ascii="Times New Roman" w:hAnsi="Times New Roman" w:cs="Times New Roman"/>
          <w:sz w:val="24"/>
          <w:szCs w:val="24"/>
        </w:rPr>
        <w:t xml:space="preserve"> выдача команд управления</w:t>
      </w:r>
      <w:r w:rsidR="00B12565">
        <w:rPr>
          <w:rFonts w:ascii="Times New Roman" w:hAnsi="Times New Roman" w:cs="Times New Roman"/>
          <w:sz w:val="24"/>
          <w:szCs w:val="24"/>
        </w:rPr>
        <w:t>, передачи данных в облачные платформы</w:t>
      </w:r>
      <w:r w:rsidR="00610B7D">
        <w:rPr>
          <w:rFonts w:ascii="Times New Roman" w:hAnsi="Times New Roman" w:cs="Times New Roman"/>
          <w:sz w:val="24"/>
          <w:szCs w:val="24"/>
        </w:rPr>
        <w:t xml:space="preserve">, реализация функций агента </w:t>
      </w:r>
      <w:r w:rsidR="00610B7D">
        <w:rPr>
          <w:rFonts w:ascii="Times New Roman" w:hAnsi="Times New Roman" w:cs="Times New Roman"/>
          <w:sz w:val="24"/>
          <w:szCs w:val="24"/>
          <w:lang w:val="en-US"/>
        </w:rPr>
        <w:t>procumer</w:t>
      </w:r>
      <w:r w:rsidR="00610B7D" w:rsidRPr="00610B7D">
        <w:rPr>
          <w:rFonts w:ascii="Times New Roman" w:hAnsi="Times New Roman" w:cs="Times New Roman"/>
          <w:sz w:val="24"/>
          <w:szCs w:val="24"/>
        </w:rPr>
        <w:t>’</w:t>
      </w:r>
      <w:r w:rsidR="00610B7D">
        <w:rPr>
          <w:rFonts w:ascii="Times New Roman" w:hAnsi="Times New Roman" w:cs="Times New Roman"/>
          <w:sz w:val="24"/>
          <w:szCs w:val="24"/>
        </w:rPr>
        <w:t xml:space="preserve">а на рынке. </w:t>
      </w:r>
    </w:p>
    <w:p w:rsidR="003656B6" w:rsidRPr="00610B7D" w:rsidRDefault="003656B6" w:rsidP="00CF22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Уровень облачных платформ</w:t>
      </w:r>
    </w:p>
    <w:p w:rsidR="008E4E59" w:rsidRDefault="00DB4813" w:rsidP="00CF22DA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Информационная платформа (</w:t>
      </w:r>
      <w:r>
        <w:rPr>
          <w:rFonts w:ascii="Times New Roman" w:hAnsi="Times New Roman" w:cs="Times New Roman"/>
          <w:sz w:val="24"/>
          <w:szCs w:val="24"/>
          <w:lang w:val="en-US"/>
        </w:rPr>
        <w:t>PaaS</w:t>
      </w:r>
      <w:r w:rsidRPr="00DB4813">
        <w:rPr>
          <w:rFonts w:ascii="Times New Roman" w:hAnsi="Times New Roman" w:cs="Times New Roman"/>
          <w:sz w:val="24"/>
          <w:szCs w:val="24"/>
        </w:rPr>
        <w:t xml:space="preserve">) - модель предоставления облачных вычислений, при которой потребитель получает доступ к использованию информационно-технологических платформ: операционных систем, систем управления базами данных, связующему программному обеспечению, средствам разработки и тестирования, размещённым у облачного провайдера. </w:t>
      </w:r>
    </w:p>
    <w:p w:rsidR="008E4E59" w:rsidRDefault="008E4E59" w:rsidP="00CF22D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функциями платформы являются:</w:t>
      </w:r>
    </w:p>
    <w:p w:rsidR="008E4E59" w:rsidRDefault="008E4E59" w:rsidP="00CF22DA">
      <w:pPr>
        <w:pStyle w:val="aa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 и хранение данных</w:t>
      </w:r>
    </w:p>
    <w:p w:rsidR="008E4E59" w:rsidRDefault="008E4E59" w:rsidP="00CF22DA">
      <w:pPr>
        <w:pStyle w:val="aa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DigitalTwins</w:t>
      </w:r>
      <w:r w:rsidRPr="008E4E5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цифровой аналог физического устройства, </w:t>
      </w:r>
      <w:r w:rsidRPr="008E4E59">
        <w:rPr>
          <w:rFonts w:ascii="Times New Roman" w:hAnsi="Times New Roman" w:cs="Times New Roman"/>
          <w:sz w:val="24"/>
          <w:szCs w:val="24"/>
        </w:rPr>
        <w:t>моделирующий внутренние процессы, технические характеристики и поведение реального объекта в условиях воздействий помех и окружающей среды.</w:t>
      </w:r>
    </w:p>
    <w:p w:rsidR="008E4E59" w:rsidRDefault="008E4E59" w:rsidP="00CF22DA">
      <w:pPr>
        <w:pStyle w:val="aa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Аналитические приложения, такие как прогнозирование</w:t>
      </w:r>
      <w:r w:rsidR="00610B7D">
        <w:rPr>
          <w:rFonts w:ascii="Times New Roman" w:hAnsi="Times New Roman" w:cs="Times New Roman"/>
          <w:sz w:val="24"/>
          <w:szCs w:val="24"/>
        </w:rPr>
        <w:t>,</w:t>
      </w:r>
      <w:r w:rsidR="00610B7D">
        <w:rPr>
          <w:rFonts w:ascii="Times New Roman" w:hAnsi="Times New Roman" w:cs="Times New Roman"/>
          <w:sz w:val="24"/>
          <w:szCs w:val="24"/>
          <w:lang w:val="en-US"/>
        </w:rPr>
        <w:t>Datamining</w:t>
      </w:r>
      <w:r w:rsidR="00610B7D">
        <w:rPr>
          <w:rFonts w:ascii="Times New Roman" w:hAnsi="Times New Roman" w:cs="Times New Roman"/>
          <w:sz w:val="24"/>
          <w:szCs w:val="24"/>
        </w:rPr>
        <w:t>.</w:t>
      </w:r>
    </w:p>
    <w:p w:rsidR="008E4E59" w:rsidRDefault="008E4E59" w:rsidP="00CF22DA">
      <w:pPr>
        <w:pStyle w:val="aa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Реализация рыночных механизмов взаимодействия между устройствами, </w:t>
      </w:r>
      <w:r w:rsidR="00610B7D">
        <w:rPr>
          <w:rFonts w:ascii="Times New Roman" w:hAnsi="Times New Roman" w:cs="Times New Roman"/>
          <w:sz w:val="24"/>
          <w:szCs w:val="24"/>
        </w:rPr>
        <w:t>например,</w:t>
      </w:r>
      <w:r>
        <w:rPr>
          <w:rFonts w:ascii="Times New Roman" w:hAnsi="Times New Roman" w:cs="Times New Roman"/>
          <w:sz w:val="24"/>
          <w:szCs w:val="24"/>
        </w:rPr>
        <w:t xml:space="preserve"> проведение торгов электроэнергией,</w:t>
      </w:r>
      <w:r w:rsidR="00610B7D">
        <w:rPr>
          <w:rFonts w:ascii="Times New Roman" w:hAnsi="Times New Roman" w:cs="Times New Roman"/>
          <w:sz w:val="24"/>
          <w:szCs w:val="24"/>
        </w:rPr>
        <w:t xml:space="preserve"> функциивыставления счетов, агрегаторы нагрузки и генерации </w:t>
      </w:r>
    </w:p>
    <w:p w:rsidR="00610B7D" w:rsidRDefault="00610B7D" w:rsidP="00CF22DA">
      <w:pPr>
        <w:pStyle w:val="aa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Оптимизационные задачи управления </w:t>
      </w:r>
    </w:p>
    <w:p w:rsidR="00610B7D" w:rsidRDefault="00610B7D" w:rsidP="00CF22DA">
      <w:pPr>
        <w:pStyle w:val="aa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Предсказание технического состояния, управление ремонтами и технического обслуживания оборудования</w:t>
      </w:r>
    </w:p>
    <w:p w:rsidR="003656B6" w:rsidRDefault="003656B6" w:rsidP="00CF22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56B6" w:rsidRDefault="00E0405D" w:rsidP="00CF22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3656B6">
        <w:rPr>
          <w:rFonts w:ascii="Times New Roman" w:hAnsi="Times New Roman" w:cs="Times New Roman"/>
          <w:sz w:val="24"/>
          <w:szCs w:val="24"/>
        </w:rPr>
        <w:t>. Компании лидеры в направлении</w:t>
      </w:r>
    </w:p>
    <w:p w:rsidR="003656B6" w:rsidRPr="00FB3A30" w:rsidRDefault="00FB3A30" w:rsidP="00CF22DA">
      <w:pPr>
        <w:jc w:val="both"/>
        <w:rPr>
          <w:rFonts w:ascii="Times New Roman" w:hAnsi="Times New Roman" w:cs="Times New Roman"/>
          <w:sz w:val="24"/>
          <w:szCs w:val="24"/>
        </w:rPr>
      </w:pPr>
      <w:r w:rsidRPr="00FB3A30">
        <w:rPr>
          <w:rFonts w:ascii="Times New Roman" w:hAnsi="Times New Roman" w:cs="Times New Roman"/>
          <w:sz w:val="24"/>
          <w:szCs w:val="24"/>
        </w:rPr>
        <w:t>1) Уровень силового оборудования</w:t>
      </w:r>
    </w:p>
    <w:p w:rsidR="00FB3A30" w:rsidRDefault="00FB3A30" w:rsidP="00CF22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D7A96">
        <w:rPr>
          <w:rFonts w:ascii="Times New Roman" w:hAnsi="Times New Roman" w:cs="Times New Roman"/>
          <w:sz w:val="24"/>
          <w:szCs w:val="24"/>
          <w:u w:val="single"/>
        </w:rPr>
        <w:t>ООО «Лиотех»</w:t>
      </w:r>
      <w:r>
        <w:rPr>
          <w:rFonts w:ascii="Times New Roman" w:hAnsi="Times New Roman" w:cs="Times New Roman"/>
          <w:sz w:val="24"/>
          <w:szCs w:val="24"/>
        </w:rPr>
        <w:t xml:space="preserve"> - компания создана в 2010 году для решения стратегических национальных задач в сфере энергосбережения. Основная направленность – сохранение природных ресурсов, энергоэффективность и безопасность экономики и улучшении экологии. Производит высокоемкие литий-ионные аккумуляторы, автономные солнечные системы, системы управления.</w:t>
      </w:r>
    </w:p>
    <w:p w:rsidR="00FB3A30" w:rsidRDefault="00FB3A30" w:rsidP="00CF22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Группа компаний </w:t>
      </w:r>
      <w:r w:rsidRPr="003D7A96">
        <w:rPr>
          <w:rFonts w:ascii="Times New Roman" w:hAnsi="Times New Roman" w:cs="Times New Roman"/>
          <w:sz w:val="24"/>
          <w:szCs w:val="24"/>
          <w:u w:val="single"/>
        </w:rPr>
        <w:t xml:space="preserve">Хевел </w:t>
      </w:r>
      <w:r>
        <w:rPr>
          <w:rFonts w:ascii="Times New Roman" w:hAnsi="Times New Roman" w:cs="Times New Roman"/>
          <w:sz w:val="24"/>
          <w:szCs w:val="24"/>
        </w:rPr>
        <w:t>– компания основана в 2009 году, является крупнейшей компанией в области солнечной энергетики. Основная направленность – производство солнечных модулей, строительство и эксплуатация солнечных электростанций.</w:t>
      </w:r>
    </w:p>
    <w:p w:rsidR="00FB3A30" w:rsidRDefault="00FB3A30" w:rsidP="00CF22D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00D6">
        <w:rPr>
          <w:rFonts w:ascii="Times New Roman" w:hAnsi="Times New Roman" w:cs="Times New Roman"/>
          <w:sz w:val="24"/>
          <w:szCs w:val="24"/>
          <w:u w:val="single"/>
        </w:rPr>
        <w:lastRenderedPageBreak/>
        <w:t>UGE International</w:t>
      </w:r>
      <w:r w:rsidRPr="00D324A1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Международная</w:t>
      </w:r>
      <w:r w:rsidRPr="00D324A1">
        <w:rPr>
          <w:rFonts w:ascii="Times New Roman" w:hAnsi="Times New Roman" w:cs="Times New Roman"/>
          <w:sz w:val="24"/>
          <w:szCs w:val="24"/>
        </w:rPr>
        <w:t xml:space="preserve"> компания</w:t>
      </w:r>
      <w:r>
        <w:rPr>
          <w:rFonts w:ascii="Times New Roman" w:hAnsi="Times New Roman" w:cs="Times New Roman"/>
          <w:sz w:val="24"/>
          <w:szCs w:val="24"/>
        </w:rPr>
        <w:t>, занимающаяся производствомветрогенераторов. Была</w:t>
      </w:r>
      <w:r w:rsidRPr="00D324A1">
        <w:rPr>
          <w:rFonts w:ascii="Times New Roman" w:hAnsi="Times New Roman" w:cs="Times New Roman"/>
          <w:sz w:val="24"/>
          <w:szCs w:val="24"/>
        </w:rPr>
        <w:t xml:space="preserve"> основанная в 2008 году, со штаб-квартирой в Нью-Йорке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D324A1">
        <w:rPr>
          <w:rFonts w:ascii="Times New Roman" w:hAnsi="Times New Roman" w:cs="Times New Roman"/>
          <w:sz w:val="24"/>
          <w:szCs w:val="24"/>
        </w:rPr>
        <w:t xml:space="preserve"> имеет проекты в более чем 100 странах мира.</w:t>
      </w:r>
    </w:p>
    <w:p w:rsidR="00FB3A30" w:rsidRDefault="00FB3A30" w:rsidP="00CF22D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3A30">
        <w:rPr>
          <w:rFonts w:ascii="Times New Roman" w:hAnsi="Times New Roman" w:cs="Times New Roman"/>
          <w:sz w:val="24"/>
          <w:szCs w:val="24"/>
        </w:rPr>
        <w:t>Hi-VAWT</w:t>
      </w:r>
      <w:r>
        <w:rPr>
          <w:rFonts w:ascii="Times New Roman" w:hAnsi="Times New Roman" w:cs="Times New Roman"/>
          <w:sz w:val="24"/>
          <w:szCs w:val="24"/>
        </w:rPr>
        <w:t xml:space="preserve"> – тайваньская энергетическая компания, специализирующаяся на малых ветрогненераторах. </w:t>
      </w:r>
      <w:r w:rsidRPr="00FB3A30">
        <w:rPr>
          <w:rFonts w:ascii="Times New Roman" w:hAnsi="Times New Roman" w:cs="Times New Roman"/>
          <w:sz w:val="24"/>
          <w:szCs w:val="24"/>
        </w:rPr>
        <w:t>Hi-VAWT</w:t>
      </w:r>
      <w:r>
        <w:rPr>
          <w:rFonts w:ascii="Times New Roman" w:hAnsi="Times New Roman" w:cs="Times New Roman"/>
          <w:sz w:val="24"/>
          <w:szCs w:val="24"/>
        </w:rPr>
        <w:t xml:space="preserve"> одна из крупнейших компаний в сфере малой ветрогенерации, она поставляет свою продукцию во множество стран в т.ч. США, Канада, Китай, Италия, Япония, Индия и т.д.</w:t>
      </w:r>
    </w:p>
    <w:p w:rsidR="0018342E" w:rsidRPr="0018342E" w:rsidRDefault="0018342E" w:rsidP="00CF22D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Tesla</w:t>
      </w:r>
      <w:r w:rsidRPr="0018342E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крупная американская компания, специализирующаяся в том числе на производстве аккумуляторных батарей для домашнего использования.</w:t>
      </w:r>
    </w:p>
    <w:p w:rsidR="00FB3A30" w:rsidRPr="00FB3A30" w:rsidRDefault="00FB3A30" w:rsidP="00CF22D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3A30">
        <w:rPr>
          <w:rFonts w:ascii="Times New Roman" w:hAnsi="Times New Roman" w:cs="Times New Roman"/>
          <w:sz w:val="24"/>
          <w:szCs w:val="24"/>
          <w:lang w:val="en-US"/>
        </w:rPr>
        <w:t>FirstSolar</w:t>
      </w:r>
      <w:r w:rsidRPr="00FB3A30">
        <w:rPr>
          <w:rFonts w:ascii="Times New Roman" w:hAnsi="Times New Roman" w:cs="Times New Roman"/>
          <w:sz w:val="24"/>
          <w:szCs w:val="24"/>
        </w:rPr>
        <w:t xml:space="preserve">, </w:t>
      </w:r>
      <w:r w:rsidRPr="00FB3A30">
        <w:rPr>
          <w:rFonts w:ascii="Times New Roman" w:hAnsi="Times New Roman" w:cs="Times New Roman"/>
          <w:sz w:val="24"/>
          <w:szCs w:val="24"/>
          <w:lang w:val="en-US"/>
        </w:rPr>
        <w:t>Inc</w:t>
      </w:r>
      <w:r w:rsidRPr="00FB3A30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американская компания, специализирующаяся на изготовлении модулей солнечных панелей. Является одним из ключевых игроков в своем сегменте</w:t>
      </w:r>
    </w:p>
    <w:p w:rsidR="003656B6" w:rsidRDefault="003656B6" w:rsidP="00CF22DA">
      <w:pPr>
        <w:tabs>
          <w:tab w:val="left" w:pos="392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42E" w:rsidRDefault="0018342E" w:rsidP="00CF22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2)Устройства сбора обработки и передачи данных</w:t>
      </w:r>
    </w:p>
    <w:p w:rsidR="0018342E" w:rsidRDefault="0018342E" w:rsidP="00CF22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D7A96">
        <w:rPr>
          <w:rFonts w:ascii="Times New Roman" w:hAnsi="Times New Roman" w:cs="Times New Roman"/>
          <w:sz w:val="24"/>
          <w:szCs w:val="24"/>
          <w:u w:val="single"/>
          <w:lang w:val="en-US"/>
        </w:rPr>
        <w:t>SchweitzerEngeneeringLaboratories</w:t>
      </w:r>
      <w:r w:rsidRPr="003D7A96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Pr="003D7A96">
        <w:rPr>
          <w:rFonts w:ascii="Times New Roman" w:hAnsi="Times New Roman" w:cs="Times New Roman"/>
          <w:sz w:val="24"/>
          <w:szCs w:val="24"/>
          <w:u w:val="single"/>
          <w:lang w:val="en-US"/>
        </w:rPr>
        <w:t>SEL</w:t>
      </w:r>
      <w:r w:rsidRPr="003D7A96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C268D7">
        <w:rPr>
          <w:rFonts w:ascii="Times New Roman" w:hAnsi="Times New Roman" w:cs="Times New Roman"/>
          <w:sz w:val="24"/>
          <w:szCs w:val="24"/>
        </w:rPr>
        <w:t xml:space="preserve"> – </w:t>
      </w:r>
      <w:r w:rsidRPr="003E7B18">
        <w:rPr>
          <w:rFonts w:ascii="Times New Roman" w:hAnsi="Times New Roman" w:cs="Times New Roman"/>
          <w:sz w:val="24"/>
          <w:szCs w:val="24"/>
        </w:rPr>
        <w:t>компания</w:t>
      </w:r>
      <w:r>
        <w:rPr>
          <w:rFonts w:ascii="Times New Roman" w:hAnsi="Times New Roman" w:cs="Times New Roman"/>
          <w:sz w:val="24"/>
          <w:szCs w:val="24"/>
        </w:rPr>
        <w:t>основаннаяв</w:t>
      </w:r>
      <w:r w:rsidRPr="00C268D7">
        <w:rPr>
          <w:rFonts w:ascii="Times New Roman" w:hAnsi="Times New Roman" w:cs="Times New Roman"/>
          <w:sz w:val="24"/>
          <w:szCs w:val="24"/>
        </w:rPr>
        <w:t xml:space="preserve"> 1984</w:t>
      </w:r>
      <w:r>
        <w:rPr>
          <w:rFonts w:ascii="Times New Roman" w:hAnsi="Times New Roman" w:cs="Times New Roman"/>
          <w:sz w:val="24"/>
          <w:szCs w:val="24"/>
        </w:rPr>
        <w:t xml:space="preserve"> вСША</w:t>
      </w:r>
      <w:r w:rsidRPr="00C268D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Основная направленность – энергоэффективное, надежное и безопасное электроснабжение. Производит устройства РЗА, устройства удаленного управления, измерения и учета, устройства автоматизации распределительной сети.</w:t>
      </w:r>
    </w:p>
    <w:p w:rsidR="0018342E" w:rsidRDefault="0018342E" w:rsidP="00CF22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D7A96">
        <w:rPr>
          <w:rFonts w:ascii="Times New Roman" w:hAnsi="Times New Roman" w:cs="Times New Roman"/>
          <w:sz w:val="24"/>
          <w:szCs w:val="24"/>
          <w:u w:val="single"/>
        </w:rPr>
        <w:t>Энтелс</w:t>
      </w:r>
      <w:r>
        <w:rPr>
          <w:rFonts w:ascii="Times New Roman" w:hAnsi="Times New Roman" w:cs="Times New Roman"/>
          <w:sz w:val="24"/>
          <w:szCs w:val="24"/>
        </w:rPr>
        <w:t xml:space="preserve"> – компания основанная в 1988 году. Основная направленность – внедрение автоматизированных систем управления, систем сбора и передачи информации, телемеханики и связи, мониторинга и учета энергоресурсов. </w:t>
      </w:r>
    </w:p>
    <w:p w:rsidR="0018342E" w:rsidRPr="00CD33B7" w:rsidRDefault="0018342E" w:rsidP="00CF22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D7A96">
        <w:rPr>
          <w:rFonts w:ascii="Times New Roman" w:hAnsi="Times New Roman" w:cs="Times New Roman"/>
          <w:sz w:val="24"/>
          <w:szCs w:val="24"/>
          <w:u w:val="single"/>
        </w:rPr>
        <w:t xml:space="preserve">Schneider Electric </w:t>
      </w:r>
      <w:r>
        <w:rPr>
          <w:rFonts w:ascii="Times New Roman" w:hAnsi="Times New Roman" w:cs="Times New Roman"/>
          <w:sz w:val="24"/>
          <w:szCs w:val="24"/>
        </w:rPr>
        <w:t>– компания основана в 1836 году во Франции, первый проект в России состоялся в 1974 году. Основная направленность - управление</w:t>
      </w:r>
      <w:r w:rsidRPr="00CD128A">
        <w:rPr>
          <w:rFonts w:ascii="Times New Roman" w:hAnsi="Times New Roman" w:cs="Times New Roman"/>
          <w:sz w:val="24"/>
          <w:szCs w:val="24"/>
        </w:rPr>
        <w:t xml:space="preserve"> энергией и технологическими процессами наиболее безопасным, надежным, эффективным и экологичным образом</w:t>
      </w:r>
      <w:r>
        <w:rPr>
          <w:rFonts w:ascii="Times New Roman" w:hAnsi="Times New Roman" w:cs="Times New Roman"/>
          <w:sz w:val="24"/>
          <w:szCs w:val="24"/>
        </w:rPr>
        <w:t>. Производит системы управления домом, системы автоматизации и управления зданий, системы автономного и бесперебойного электроснабжения.</w:t>
      </w:r>
    </w:p>
    <w:p w:rsidR="0018342E" w:rsidRDefault="0018342E" w:rsidP="00CF22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342E" w:rsidRDefault="0018342E" w:rsidP="00CF22DA">
      <w:pPr>
        <w:jc w:val="both"/>
        <w:rPr>
          <w:rFonts w:ascii="Times New Roman" w:hAnsi="Times New Roman" w:cs="Times New Roman"/>
          <w:sz w:val="24"/>
          <w:szCs w:val="24"/>
        </w:rPr>
      </w:pPr>
      <w:r w:rsidRPr="0018342E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Платформы сбора, хранения обработки и передачи данных</w:t>
      </w:r>
    </w:p>
    <w:p w:rsidR="0018342E" w:rsidRDefault="0018342E" w:rsidP="00CF22D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7A96">
        <w:rPr>
          <w:rFonts w:ascii="Times New Roman" w:hAnsi="Times New Roman" w:cs="Times New Roman"/>
          <w:sz w:val="24"/>
          <w:szCs w:val="24"/>
          <w:u w:val="single"/>
        </w:rPr>
        <w:t>General Electric</w:t>
      </w:r>
      <w:r>
        <w:rPr>
          <w:rFonts w:ascii="Times New Roman" w:hAnsi="Times New Roman" w:cs="Times New Roman"/>
          <w:sz w:val="24"/>
          <w:szCs w:val="24"/>
        </w:rPr>
        <w:t xml:space="preserve"> – компания основана в 1878 году в США. Производит многие</w:t>
      </w:r>
      <w:r w:rsidRPr="00F24FAC">
        <w:rPr>
          <w:rFonts w:ascii="Times New Roman" w:hAnsi="Times New Roman" w:cs="Times New Roman"/>
          <w:sz w:val="24"/>
          <w:szCs w:val="24"/>
        </w:rPr>
        <w:t xml:space="preserve"> вид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24FAC">
        <w:rPr>
          <w:rFonts w:ascii="Times New Roman" w:hAnsi="Times New Roman" w:cs="Times New Roman"/>
          <w:sz w:val="24"/>
          <w:szCs w:val="24"/>
        </w:rPr>
        <w:t xml:space="preserve"> техники, включая локомотивы, энергетические установки, газовые турбины, авиационные двигатели, медицинское оборудование, фототехнику, бытовую и осветительную технику, пластмассы и герметики, а также широкий спектр продукции военного назначения</w:t>
      </w:r>
      <w:r>
        <w:rPr>
          <w:rFonts w:ascii="Times New Roman" w:hAnsi="Times New Roman" w:cs="Times New Roman"/>
          <w:sz w:val="24"/>
          <w:szCs w:val="24"/>
        </w:rPr>
        <w:t xml:space="preserve">. В рамках данной темы компания имеет платформу </w:t>
      </w:r>
      <w:r>
        <w:rPr>
          <w:rFonts w:ascii="Times New Roman" w:hAnsi="Times New Roman" w:cs="Times New Roman"/>
          <w:sz w:val="24"/>
          <w:szCs w:val="24"/>
          <w:lang w:val="en-US"/>
        </w:rPr>
        <w:t>Predix</w:t>
      </w:r>
      <w:r w:rsidRPr="00F24FA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облачное решение для сбора данных и аналитики, необходимая </w:t>
      </w:r>
      <w:r w:rsidRPr="00F24FAC">
        <w:rPr>
          <w:rFonts w:ascii="Times New Roman" w:hAnsi="Times New Roman" w:cs="Times New Roman"/>
          <w:sz w:val="24"/>
          <w:szCs w:val="24"/>
        </w:rPr>
        <w:t>для разработки, развертывания и коммерциализацииприложений Промышленного Интернета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342E" w:rsidRDefault="0018342E" w:rsidP="00CF22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D7A96">
        <w:rPr>
          <w:rFonts w:ascii="Times New Roman" w:hAnsi="Times New Roman" w:cs="Times New Roman"/>
          <w:sz w:val="24"/>
          <w:szCs w:val="24"/>
          <w:u w:val="single"/>
          <w:lang w:val="en-US"/>
        </w:rPr>
        <w:t>Siemens</w:t>
      </w:r>
      <w:r w:rsidRPr="00F52A2E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компания основана в </w:t>
      </w:r>
      <w:r w:rsidRPr="00F52A2E">
        <w:rPr>
          <w:rFonts w:ascii="Times New Roman" w:hAnsi="Times New Roman" w:cs="Times New Roman"/>
          <w:sz w:val="24"/>
          <w:szCs w:val="24"/>
        </w:rPr>
        <w:t xml:space="preserve">1847 </w:t>
      </w:r>
      <w:r>
        <w:rPr>
          <w:rFonts w:ascii="Times New Roman" w:hAnsi="Times New Roman" w:cs="Times New Roman"/>
          <w:sz w:val="24"/>
          <w:szCs w:val="24"/>
        </w:rPr>
        <w:t xml:space="preserve">году в Германии. Основная направленность - </w:t>
      </w:r>
      <w:r w:rsidRPr="00F52A2E">
        <w:rPr>
          <w:rFonts w:ascii="Times New Roman" w:hAnsi="Times New Roman" w:cs="Times New Roman"/>
          <w:sz w:val="24"/>
          <w:szCs w:val="24"/>
        </w:rPr>
        <w:t>област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F52A2E">
        <w:rPr>
          <w:rFonts w:ascii="Times New Roman" w:hAnsi="Times New Roman" w:cs="Times New Roman"/>
          <w:sz w:val="24"/>
          <w:szCs w:val="24"/>
        </w:rPr>
        <w:t xml:space="preserve"> электротехники, электроники, энергетического оборудования, транспорта, медицинского оборудования и светотехники, а также специализированных услуг в различных областях промышленности, транспорта</w:t>
      </w:r>
      <w:r>
        <w:rPr>
          <w:rFonts w:ascii="Times New Roman" w:hAnsi="Times New Roman" w:cs="Times New Roman"/>
          <w:sz w:val="24"/>
          <w:szCs w:val="24"/>
        </w:rPr>
        <w:t xml:space="preserve">. В рамках данной темы компания имеет платформу </w:t>
      </w:r>
      <w:r>
        <w:rPr>
          <w:rFonts w:ascii="Times New Roman" w:hAnsi="Times New Roman" w:cs="Times New Roman"/>
          <w:sz w:val="24"/>
          <w:szCs w:val="24"/>
          <w:lang w:val="en-US"/>
        </w:rPr>
        <w:t>MindSphere</w:t>
      </w:r>
      <w:r w:rsidRPr="0039460E">
        <w:rPr>
          <w:rFonts w:ascii="Times New Roman" w:hAnsi="Times New Roman" w:cs="Times New Roman"/>
          <w:sz w:val="24"/>
          <w:szCs w:val="24"/>
        </w:rPr>
        <w:t xml:space="preserve">  - – открытая облачная операционная для «Интернета вещей» (IoT), которая позволяет связать оборудование и физическую инфраструктуру с цифровым </w:t>
      </w:r>
      <w:r w:rsidRPr="0039460E">
        <w:rPr>
          <w:rFonts w:ascii="Times New Roman" w:hAnsi="Times New Roman" w:cs="Times New Roman"/>
          <w:sz w:val="24"/>
          <w:szCs w:val="24"/>
        </w:rPr>
        <w:lastRenderedPageBreak/>
        <w:t xml:space="preserve">миром. </w:t>
      </w:r>
      <w:r>
        <w:rPr>
          <w:rFonts w:ascii="Times New Roman" w:hAnsi="Times New Roman" w:cs="Times New Roman"/>
          <w:sz w:val="24"/>
          <w:szCs w:val="24"/>
        </w:rPr>
        <w:t>Это позволяет</w:t>
      </w:r>
      <w:r w:rsidRPr="0039460E">
        <w:rPr>
          <w:rFonts w:ascii="Times New Roman" w:hAnsi="Times New Roman" w:cs="Times New Roman"/>
          <w:sz w:val="24"/>
          <w:szCs w:val="24"/>
        </w:rPr>
        <w:t xml:space="preserve"> использовать большие объемы данных, поступающих от миллиардов интеллектуальных устройств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405D" w:rsidRPr="0039460E" w:rsidRDefault="00E0405D" w:rsidP="00CF22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2ED1" w:rsidRDefault="00E0405D" w:rsidP="00CF22DA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E96702">
        <w:rPr>
          <w:rFonts w:ascii="Times New Roman" w:hAnsi="Times New Roman" w:cs="Times New Roman"/>
          <w:sz w:val="24"/>
          <w:szCs w:val="24"/>
        </w:rPr>
        <w:t xml:space="preserve">. Перспективы </w:t>
      </w:r>
      <w:r w:rsidR="00557CEE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="00E96702">
        <w:rPr>
          <w:rFonts w:ascii="Times New Roman" w:hAnsi="Times New Roman" w:cs="Times New Roman"/>
          <w:sz w:val="24"/>
          <w:szCs w:val="24"/>
        </w:rPr>
        <w:t>направления</w:t>
      </w:r>
    </w:p>
    <w:p w:rsidR="0018342E" w:rsidRDefault="00557CEE" w:rsidP="00CF22DA">
      <w:pPr>
        <w:pStyle w:val="2105"/>
      </w:pPr>
      <w:r w:rsidRPr="00E2791C">
        <w:t>Внедрение технологических инноваций должно привести к существенному повышению качества электроэнергии, производительности энергосистем, ускорению процессов автоматизации при одновременном сокращении затрат.</w:t>
      </w:r>
      <w:r w:rsidR="00D84A8A">
        <w:t xml:space="preserve"> Согласно полученным данных, глобальный рынок технологий Микригрид в 2015 году оценивался в 3,4 млрд долларов, в прогнозе на 2023 год – 9,8 млрд долл., а технологии на базе «умных сетей» в 2015 - 1,9 млрд. долл., в 2023 – 19,5 млрд. долл. Безусловно, направление будет развиваться, а капитализация рынка будет расти. </w:t>
      </w:r>
      <w:r w:rsidR="0018342E">
        <w:t xml:space="preserve">Наиболее важными перспективами развития направления </w:t>
      </w:r>
      <w:r w:rsidR="00D84A8A">
        <w:t xml:space="preserve">комплекса </w:t>
      </w:r>
      <w:r w:rsidR="0018342E">
        <w:t>интеллектуальных систем энергоснабжения являются:</w:t>
      </w:r>
    </w:p>
    <w:p w:rsidR="0018342E" w:rsidRDefault="0018342E" w:rsidP="00CF22DA">
      <w:pPr>
        <w:pStyle w:val="aa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</w:t>
      </w:r>
      <w:r w:rsidR="006E4963">
        <w:rPr>
          <w:rFonts w:ascii="Times New Roman" w:hAnsi="Times New Roman" w:cs="Times New Roman"/>
          <w:sz w:val="24"/>
          <w:szCs w:val="24"/>
        </w:rPr>
        <w:t>эффективности ВИЭ и накопителей электроэнергии</w:t>
      </w:r>
    </w:p>
    <w:p w:rsidR="006E4963" w:rsidRDefault="006E4963" w:rsidP="00CF22DA">
      <w:pPr>
        <w:pStyle w:val="aa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Внедрение и развитие технологий искусственного интеллекта</w:t>
      </w:r>
    </w:p>
    <w:p w:rsidR="006E4963" w:rsidRDefault="006E4963" w:rsidP="00CF22DA">
      <w:pPr>
        <w:pStyle w:val="aa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технологической и производственной базы в сфере интеллектуального энергоснабжения в России</w:t>
      </w:r>
    </w:p>
    <w:p w:rsidR="006E4963" w:rsidRDefault="006E4963" w:rsidP="00CF22D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КПД солнечных панелей и ветрогенераторов является важнейшей задачей ближайшей перспективы. На сегодняшний день, КПД солнечных панелей лежит в диапазоне 9-10%, КПД большинства ветрогенераторов не превышает 30%. С учетом потерь в инверторе и потерь при использовании накопителей КПД также снижается. Старение и потеря емкости аккумуляторными батареями также является острой проблемой в области микрогрид.</w:t>
      </w:r>
    </w:p>
    <w:p w:rsidR="006E4963" w:rsidRDefault="00557CEE" w:rsidP="00CF22D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Темпы развития технологий искусственного интеллекта с каждым годом увеличиваются и внедрение этих технологий во все сферы жизни происходит уже сегодня. Использование распределенных систем принятия решений, нейросетей и алгоритмов обучения </w:t>
      </w:r>
      <w:r w:rsidR="00D84A8A">
        <w:rPr>
          <w:rFonts w:ascii="Times New Roman" w:hAnsi="Times New Roman" w:cs="Times New Roman"/>
          <w:sz w:val="24"/>
          <w:szCs w:val="24"/>
        </w:rPr>
        <w:t>помогут сдела</w:t>
      </w:r>
      <w:r>
        <w:rPr>
          <w:rFonts w:ascii="Times New Roman" w:hAnsi="Times New Roman" w:cs="Times New Roman"/>
          <w:sz w:val="24"/>
          <w:szCs w:val="24"/>
        </w:rPr>
        <w:t>т</w:t>
      </w:r>
      <w:r w:rsidR="00D84A8A">
        <w:rPr>
          <w:rFonts w:ascii="Times New Roman" w:hAnsi="Times New Roman" w:cs="Times New Roman"/>
          <w:sz w:val="24"/>
          <w:szCs w:val="24"/>
        </w:rPr>
        <w:t xml:space="preserve">ь прогнозирование и управление более точным и совершенным.  </w:t>
      </w:r>
    </w:p>
    <w:p w:rsidR="00F77BF7" w:rsidRDefault="00F77BF7" w:rsidP="00CF22D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 направлением для России в перспективе до 2030 года является создание производственной и технологической базы. На сегодняшний день, в России существуют производители аккумуляторных батарей, солнечных панелей, датчиков и контроллеров. Однако, приоритетной задачей является вывод новых и уже существующих производителей на мировой рынок.</w:t>
      </w:r>
    </w:p>
    <w:p w:rsidR="00E96702" w:rsidRPr="00E96702" w:rsidRDefault="00E96702" w:rsidP="00CF22D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702">
        <w:rPr>
          <w:rFonts w:ascii="Times New Roman" w:hAnsi="Times New Roman" w:cs="Times New Roman"/>
          <w:sz w:val="24"/>
          <w:szCs w:val="24"/>
        </w:rPr>
        <w:t xml:space="preserve">В рамках Национальной Технологической Инициативы было сформировано направление </w:t>
      </w:r>
      <w:r w:rsidRPr="00E96702">
        <w:rPr>
          <w:rFonts w:ascii="Times New Roman" w:hAnsi="Times New Roman" w:cs="Times New Roman"/>
          <w:sz w:val="24"/>
          <w:szCs w:val="24"/>
          <w:lang w:val="en-US"/>
        </w:rPr>
        <w:t>EnergyNet</w:t>
      </w:r>
      <w:r w:rsidRPr="00E96702">
        <w:rPr>
          <w:rFonts w:ascii="Times New Roman" w:hAnsi="Times New Roman" w:cs="Times New Roman"/>
          <w:sz w:val="24"/>
          <w:szCs w:val="24"/>
        </w:rPr>
        <w:t xml:space="preserve"> (ссылка на дорожную карту). Основной целью реализации </w:t>
      </w:r>
      <w:r w:rsidRPr="00E96702">
        <w:rPr>
          <w:rFonts w:ascii="Times New Roman" w:hAnsi="Times New Roman" w:cs="Times New Roman"/>
          <w:sz w:val="24"/>
          <w:szCs w:val="24"/>
        </w:rPr>
        <w:lastRenderedPageBreak/>
        <w:t>дорожной карты «</w:t>
      </w:r>
      <w:r w:rsidRPr="00E96702">
        <w:rPr>
          <w:rFonts w:ascii="Times New Roman" w:hAnsi="Times New Roman" w:cs="Times New Roman"/>
          <w:sz w:val="24"/>
          <w:szCs w:val="24"/>
          <w:lang w:val="en-US"/>
        </w:rPr>
        <w:t>EnergyNet</w:t>
      </w:r>
      <w:r w:rsidRPr="00E96702">
        <w:rPr>
          <w:rFonts w:ascii="Times New Roman" w:hAnsi="Times New Roman" w:cs="Times New Roman"/>
          <w:sz w:val="24"/>
          <w:szCs w:val="24"/>
        </w:rPr>
        <w:t>» является достижение объемов выручки российских компаний на рынках разномасштабных комплексных систем и сервисов интеллектуальной энергетики не менее 40 млрд. долл. в год, в том числе занять доли рынка на приоритетных сегментах:</w:t>
      </w:r>
    </w:p>
    <w:p w:rsidR="00E96702" w:rsidRPr="00E96702" w:rsidRDefault="00E96702" w:rsidP="00CF22DA">
      <w:pPr>
        <w:pStyle w:val="a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702">
        <w:rPr>
          <w:rFonts w:ascii="Times New Roman" w:hAnsi="Times New Roman" w:cs="Times New Roman"/>
          <w:sz w:val="24"/>
          <w:szCs w:val="24"/>
        </w:rPr>
        <w:t>надёжные и гибкие распределительные сети – 10-12%;</w:t>
      </w:r>
    </w:p>
    <w:p w:rsidR="00E96702" w:rsidRPr="00E96702" w:rsidRDefault="00E96702" w:rsidP="00CF22DA">
      <w:pPr>
        <w:pStyle w:val="a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702">
        <w:rPr>
          <w:rFonts w:ascii="Times New Roman" w:hAnsi="Times New Roman" w:cs="Times New Roman"/>
          <w:sz w:val="24"/>
          <w:szCs w:val="24"/>
        </w:rPr>
        <w:t>интеллектуальная распределённая энергетика – 3-6%;</w:t>
      </w:r>
    </w:p>
    <w:p w:rsidR="00B12565" w:rsidRPr="00E96702" w:rsidRDefault="00E96702" w:rsidP="00CF22DA">
      <w:pPr>
        <w:pStyle w:val="a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702">
        <w:rPr>
          <w:rFonts w:ascii="Times New Roman" w:hAnsi="Times New Roman" w:cs="Times New Roman"/>
          <w:sz w:val="24"/>
          <w:szCs w:val="24"/>
        </w:rPr>
        <w:t>потребительские сервисы – 3-6%.</w:t>
      </w:r>
    </w:p>
    <w:p w:rsidR="006B0C3B" w:rsidRDefault="00E96702" w:rsidP="00CF22D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</w:t>
      </w:r>
      <w:r w:rsidR="006B0C3B">
        <w:rPr>
          <w:rFonts w:ascii="Times New Roman" w:hAnsi="Times New Roman" w:cs="Times New Roman"/>
          <w:sz w:val="24"/>
          <w:szCs w:val="24"/>
        </w:rPr>
        <w:t xml:space="preserve"> НТИ</w:t>
      </w:r>
      <w:r>
        <w:rPr>
          <w:rFonts w:ascii="Times New Roman" w:hAnsi="Times New Roman" w:cs="Times New Roman"/>
          <w:sz w:val="24"/>
          <w:szCs w:val="24"/>
          <w:lang w:val="en-US"/>
        </w:rPr>
        <w:t>EnergyNet</w:t>
      </w:r>
      <w:r w:rsidR="006B0C3B">
        <w:rPr>
          <w:rFonts w:ascii="Times New Roman" w:hAnsi="Times New Roman" w:cs="Times New Roman"/>
          <w:sz w:val="24"/>
          <w:szCs w:val="24"/>
        </w:rPr>
        <w:t xml:space="preserve"> должно стать появление и успешное развитие 3-5 российских компаний-глобальных лидеров рынка к 2035 году. </w:t>
      </w:r>
      <w:r>
        <w:rPr>
          <w:rFonts w:ascii="Times New Roman" w:hAnsi="Times New Roman" w:cs="Times New Roman"/>
          <w:sz w:val="24"/>
          <w:szCs w:val="24"/>
        </w:rPr>
        <w:t xml:space="preserve">Поставленные цели реализуются </w:t>
      </w:r>
      <w:r w:rsidR="006B0C3B">
        <w:rPr>
          <w:rFonts w:ascii="Times New Roman" w:hAnsi="Times New Roman" w:cs="Times New Roman"/>
          <w:sz w:val="24"/>
          <w:szCs w:val="24"/>
        </w:rPr>
        <w:t xml:space="preserve">в том числе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6B0C3B">
        <w:rPr>
          <w:rFonts w:ascii="Times New Roman" w:hAnsi="Times New Roman" w:cs="Times New Roman"/>
          <w:sz w:val="24"/>
          <w:szCs w:val="24"/>
        </w:rPr>
        <w:t xml:space="preserve">помощью финансирования проектовв сфере интеллектуальной энергетики. Примером такого проекта может быть устройство «Персональный Энергоблок» </w:t>
      </w:r>
      <w:r w:rsidR="006B0C3B" w:rsidRPr="006B0C3B">
        <w:rPr>
          <w:rFonts w:ascii="Times New Roman" w:hAnsi="Times New Roman" w:cs="Times New Roman"/>
          <w:sz w:val="24"/>
          <w:szCs w:val="24"/>
        </w:rPr>
        <w:t>(</w:t>
      </w:r>
      <w:fldSimple w:instr=" REF _Ref510112309 \h  \* MERGEFORMAT ">
        <w:r w:rsidR="006B0C3B" w:rsidRPr="006B0C3B">
          <w:rPr>
            <w:rFonts w:ascii="Times New Roman" w:hAnsi="Times New Roman" w:cs="Times New Roman"/>
            <w:sz w:val="24"/>
            <w:szCs w:val="24"/>
          </w:rPr>
          <w:t xml:space="preserve">Рисунок </w:t>
        </w:r>
        <w:r w:rsidR="006B0C3B" w:rsidRPr="006B0C3B">
          <w:rPr>
            <w:rFonts w:ascii="Times New Roman" w:hAnsi="Times New Roman" w:cs="Times New Roman"/>
            <w:noProof/>
            <w:sz w:val="24"/>
            <w:szCs w:val="24"/>
          </w:rPr>
          <w:t>3</w:t>
        </w:r>
      </w:fldSimple>
      <w:r w:rsidR="006B0C3B" w:rsidRPr="006B0C3B">
        <w:rPr>
          <w:rFonts w:ascii="Times New Roman" w:hAnsi="Times New Roman" w:cs="Times New Roman"/>
          <w:sz w:val="24"/>
          <w:szCs w:val="24"/>
        </w:rPr>
        <w:t>)</w:t>
      </w:r>
      <w:r w:rsidR="006B0C3B">
        <w:rPr>
          <w:rFonts w:ascii="Times New Roman" w:hAnsi="Times New Roman" w:cs="Times New Roman"/>
          <w:sz w:val="24"/>
          <w:szCs w:val="24"/>
        </w:rPr>
        <w:t xml:space="preserve"> – энергоинформационное устройство потребителя электроэнергии, позволяющее обмениваться электроэнергией с другими такими же энергоблоками на основе рыночных механизмов</w:t>
      </w:r>
      <w:r w:rsidR="004C49D2">
        <w:rPr>
          <w:rFonts w:ascii="Times New Roman" w:hAnsi="Times New Roman" w:cs="Times New Roman"/>
          <w:sz w:val="24"/>
          <w:szCs w:val="24"/>
        </w:rPr>
        <w:t xml:space="preserve"> в рамках микроэнергосистемы</w:t>
      </w:r>
      <w:r w:rsidR="006B0C3B">
        <w:rPr>
          <w:rFonts w:ascii="Times New Roman" w:hAnsi="Times New Roman" w:cs="Times New Roman"/>
          <w:sz w:val="24"/>
          <w:szCs w:val="24"/>
        </w:rPr>
        <w:t>.</w:t>
      </w:r>
    </w:p>
    <w:p w:rsidR="006B0C3B" w:rsidRDefault="006B0C3B" w:rsidP="00CF22DA">
      <w:pPr>
        <w:keepNext/>
        <w:spacing w:line="360" w:lineRule="auto"/>
        <w:ind w:firstLine="708"/>
        <w:jc w:val="both"/>
      </w:pPr>
      <w:r>
        <w:rPr>
          <w:noProof/>
          <w:lang w:eastAsia="ru-RU"/>
        </w:rPr>
        <w:drawing>
          <wp:inline distT="0" distB="0" distL="0" distR="0">
            <wp:extent cx="4497495" cy="2529840"/>
            <wp:effectExtent l="0" t="0" r="0" b="3810"/>
            <wp:docPr id="2039098209" name="picture" descr="http://gridology.ru/system/redactor_assets/pictures/350/__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0632" cy="253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702" w:rsidRDefault="006B0C3B" w:rsidP="00CF22DA">
      <w:pPr>
        <w:pStyle w:val="ac"/>
        <w:ind w:firstLine="708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bookmarkStart w:id="2" w:name="_Ref510112309"/>
      <w:r w:rsidRPr="006B0C3B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Рисунок </w:t>
      </w:r>
      <w:r w:rsidR="000444D9" w:rsidRPr="006B0C3B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begin"/>
      </w:r>
      <w:r w:rsidRPr="006B0C3B">
        <w:rPr>
          <w:rFonts w:ascii="Times New Roman" w:hAnsi="Times New Roman" w:cs="Times New Roman"/>
          <w:i w:val="0"/>
          <w:color w:val="auto"/>
          <w:sz w:val="24"/>
          <w:szCs w:val="24"/>
        </w:rPr>
        <w:instrText xml:space="preserve"> SEQ Рисунок \* ARABIC </w:instrText>
      </w:r>
      <w:r w:rsidR="000444D9" w:rsidRPr="006B0C3B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separate"/>
      </w:r>
      <w:r w:rsidRPr="006B0C3B">
        <w:rPr>
          <w:rFonts w:ascii="Times New Roman" w:hAnsi="Times New Roman" w:cs="Times New Roman"/>
          <w:i w:val="0"/>
          <w:noProof/>
          <w:color w:val="auto"/>
          <w:sz w:val="24"/>
          <w:szCs w:val="24"/>
        </w:rPr>
        <w:t>3</w:t>
      </w:r>
      <w:r w:rsidR="000444D9" w:rsidRPr="006B0C3B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end"/>
      </w:r>
      <w:bookmarkEnd w:id="2"/>
      <w:r w:rsidRPr="006B0C3B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- Внешний вид энергоинформационного устройства "Персональный энергоблок"</w:t>
      </w:r>
    </w:p>
    <w:p w:rsidR="00137DB6" w:rsidRDefault="00137DB6" w:rsidP="00CF22D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37DB6" w:rsidRDefault="00137DB6" w:rsidP="00CF22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bookmarkStart w:id="3" w:name="_GoBack"/>
      <w:bookmarkEnd w:id="3"/>
    </w:p>
    <w:p w:rsidR="00CF22DA" w:rsidRDefault="00CF22DA" w:rsidP="00CF22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Список используемой литературы</w:t>
      </w:r>
    </w:p>
    <w:p w:rsidR="00452ED1" w:rsidRDefault="00137DB6" w:rsidP="00CF22D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137DB6">
        <w:rPr>
          <w:rFonts w:ascii="Times New Roman" w:hAnsi="Times New Roman" w:cs="Times New Roman"/>
          <w:sz w:val="24"/>
          <w:szCs w:val="24"/>
        </w:rPr>
        <w:t>Ермоленко</w:t>
      </w:r>
      <w:r>
        <w:rPr>
          <w:rFonts w:ascii="Times New Roman" w:hAnsi="Times New Roman" w:cs="Times New Roman"/>
          <w:sz w:val="24"/>
          <w:szCs w:val="24"/>
        </w:rPr>
        <w:t xml:space="preserve"> Б.</w:t>
      </w:r>
      <w:r w:rsidRPr="00137DB6">
        <w:rPr>
          <w:rFonts w:ascii="Times New Roman" w:hAnsi="Times New Roman" w:cs="Times New Roman"/>
          <w:sz w:val="24"/>
          <w:szCs w:val="24"/>
        </w:rPr>
        <w:t>Насколько высок техническиреализуемый потенциал ВИЭв России?/</w:t>
      </w:r>
      <w:r>
        <w:rPr>
          <w:rFonts w:ascii="Times New Roman" w:hAnsi="Times New Roman" w:cs="Times New Roman"/>
          <w:sz w:val="24"/>
          <w:szCs w:val="24"/>
        </w:rPr>
        <w:t xml:space="preserve"> Б. Ермоленко, Г. Ермоленко Л.</w:t>
      </w:r>
      <w:r w:rsidRPr="00137DB6">
        <w:rPr>
          <w:rFonts w:ascii="Times New Roman" w:hAnsi="Times New Roman" w:cs="Times New Roman"/>
          <w:sz w:val="24"/>
          <w:szCs w:val="24"/>
        </w:rPr>
        <w:t xml:space="preserve"> Проскурякова</w:t>
      </w:r>
      <w:r>
        <w:rPr>
          <w:rFonts w:ascii="Times New Roman" w:hAnsi="Times New Roman" w:cs="Times New Roman"/>
          <w:sz w:val="24"/>
          <w:szCs w:val="24"/>
        </w:rPr>
        <w:t xml:space="preserve"> //ТЭК России </w:t>
      </w:r>
      <w:r w:rsidRPr="00137DB6">
        <w:rPr>
          <w:rFonts w:ascii="Times New Roman" w:hAnsi="Times New Roman" w:cs="Times New Roman"/>
          <w:sz w:val="24"/>
          <w:szCs w:val="24"/>
        </w:rPr>
        <w:t xml:space="preserve">— </w:t>
      </w:r>
      <w:r>
        <w:rPr>
          <w:rFonts w:ascii="Times New Roman" w:hAnsi="Times New Roman" w:cs="Times New Roman"/>
          <w:sz w:val="24"/>
          <w:szCs w:val="24"/>
        </w:rPr>
        <w:t>2017</w:t>
      </w:r>
      <w:r w:rsidRPr="00137DB6">
        <w:rPr>
          <w:rFonts w:ascii="Times New Roman" w:hAnsi="Times New Roman" w:cs="Times New Roman"/>
          <w:sz w:val="24"/>
          <w:szCs w:val="24"/>
        </w:rPr>
        <w:t xml:space="preserve">.— №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37DB6">
        <w:rPr>
          <w:rFonts w:ascii="Times New Roman" w:hAnsi="Times New Roman" w:cs="Times New Roman"/>
          <w:sz w:val="24"/>
          <w:szCs w:val="24"/>
        </w:rPr>
        <w:t xml:space="preserve">.— С.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137DB6">
        <w:rPr>
          <w:rFonts w:ascii="Times New Roman" w:hAnsi="Times New Roman" w:cs="Times New Roman"/>
          <w:sz w:val="24"/>
          <w:szCs w:val="24"/>
        </w:rPr>
        <w:t>.</w:t>
      </w:r>
    </w:p>
    <w:p w:rsidR="00137DB6" w:rsidRDefault="00137DB6" w:rsidP="00CF22D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Волошин А.А. </w:t>
      </w:r>
      <w:r w:rsidRPr="00137DB6">
        <w:rPr>
          <w:rFonts w:ascii="Times New Roman" w:hAnsi="Times New Roman" w:cs="Times New Roman"/>
          <w:sz w:val="24"/>
          <w:szCs w:val="24"/>
        </w:rPr>
        <w:t>Интеллектуальная системаэлектроснабжения на базеперсональных энергоблоков</w:t>
      </w:r>
      <w:r>
        <w:rPr>
          <w:rFonts w:ascii="Times New Roman" w:hAnsi="Times New Roman" w:cs="Times New Roman"/>
          <w:sz w:val="24"/>
          <w:szCs w:val="24"/>
        </w:rPr>
        <w:t xml:space="preserve"> / А.А. Волошин, Е.А. Волошин, Е.И. Рогозинников // </w:t>
      </w:r>
      <w:r w:rsidR="00AF4145">
        <w:rPr>
          <w:rFonts w:ascii="Times New Roman" w:hAnsi="Times New Roman" w:cs="Times New Roman"/>
          <w:sz w:val="24"/>
          <w:szCs w:val="24"/>
        </w:rPr>
        <w:t xml:space="preserve">ЭЭПИР </w:t>
      </w:r>
      <w:r w:rsidR="00AF4145" w:rsidRPr="00137DB6">
        <w:rPr>
          <w:rFonts w:ascii="Times New Roman" w:hAnsi="Times New Roman" w:cs="Times New Roman"/>
          <w:sz w:val="24"/>
          <w:szCs w:val="24"/>
        </w:rPr>
        <w:t xml:space="preserve">— </w:t>
      </w:r>
      <w:r w:rsidR="00AF4145">
        <w:rPr>
          <w:rFonts w:ascii="Times New Roman" w:hAnsi="Times New Roman" w:cs="Times New Roman"/>
          <w:sz w:val="24"/>
          <w:szCs w:val="24"/>
        </w:rPr>
        <w:t>2017</w:t>
      </w:r>
      <w:r w:rsidR="00AF4145" w:rsidRPr="00137DB6">
        <w:rPr>
          <w:rFonts w:ascii="Times New Roman" w:hAnsi="Times New Roman" w:cs="Times New Roman"/>
          <w:sz w:val="24"/>
          <w:szCs w:val="24"/>
        </w:rPr>
        <w:t xml:space="preserve">.— № </w:t>
      </w:r>
      <w:r w:rsidR="00AF4145">
        <w:rPr>
          <w:rFonts w:ascii="Times New Roman" w:hAnsi="Times New Roman" w:cs="Times New Roman"/>
          <w:sz w:val="24"/>
          <w:szCs w:val="24"/>
        </w:rPr>
        <w:t>1</w:t>
      </w:r>
      <w:r w:rsidR="00AF4145" w:rsidRPr="00137DB6">
        <w:rPr>
          <w:rFonts w:ascii="Times New Roman" w:hAnsi="Times New Roman" w:cs="Times New Roman"/>
          <w:sz w:val="24"/>
          <w:szCs w:val="24"/>
        </w:rPr>
        <w:t xml:space="preserve">.— С. </w:t>
      </w:r>
      <w:r w:rsidR="00AF4145">
        <w:rPr>
          <w:rFonts w:ascii="Times New Roman" w:hAnsi="Times New Roman" w:cs="Times New Roman"/>
          <w:sz w:val="24"/>
          <w:szCs w:val="24"/>
        </w:rPr>
        <w:t>18-22</w:t>
      </w:r>
      <w:r w:rsidR="00AF4145" w:rsidRPr="00137DB6">
        <w:rPr>
          <w:rFonts w:ascii="Times New Roman" w:hAnsi="Times New Roman" w:cs="Times New Roman"/>
          <w:sz w:val="24"/>
          <w:szCs w:val="24"/>
        </w:rPr>
        <w:t>.</w:t>
      </w:r>
    </w:p>
    <w:p w:rsidR="00AF4145" w:rsidRDefault="00AF4145" w:rsidP="00CF22D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AF4145">
        <w:rPr>
          <w:rFonts w:ascii="Times New Roman" w:hAnsi="Times New Roman" w:cs="Times New Roman"/>
          <w:sz w:val="24"/>
          <w:szCs w:val="24"/>
        </w:rPr>
        <w:t>Правительство утвердило правила, по которым население сможет продавать в общую сеть электроэнергию «до</w:t>
      </w:r>
      <w:r>
        <w:rPr>
          <w:rFonts w:ascii="Times New Roman" w:hAnsi="Times New Roman" w:cs="Times New Roman"/>
          <w:sz w:val="24"/>
          <w:szCs w:val="24"/>
        </w:rPr>
        <w:t xml:space="preserve">машней микрогенерации» </w:t>
      </w:r>
      <w:r w:rsidRPr="00AF4145">
        <w:rPr>
          <w:rFonts w:ascii="Times New Roman" w:hAnsi="Times New Roman" w:cs="Times New Roman"/>
          <w:sz w:val="24"/>
          <w:szCs w:val="24"/>
        </w:rPr>
        <w:t xml:space="preserve">[Электронный ресурс]. – Режим доступа: http://www.bigpowernews.ru/markets/document78459.phtml. – Заглавие с экрана. – (Дата обращения: </w:t>
      </w:r>
      <w:r>
        <w:rPr>
          <w:rFonts w:ascii="Times New Roman" w:hAnsi="Times New Roman" w:cs="Times New Roman"/>
          <w:sz w:val="24"/>
          <w:szCs w:val="24"/>
        </w:rPr>
        <w:t>24.03.2017</w:t>
      </w:r>
      <w:r w:rsidRPr="00AF4145">
        <w:rPr>
          <w:rFonts w:ascii="Times New Roman" w:hAnsi="Times New Roman" w:cs="Times New Roman"/>
          <w:sz w:val="24"/>
          <w:szCs w:val="24"/>
        </w:rPr>
        <w:t>).</w:t>
      </w:r>
    </w:p>
    <w:p w:rsidR="00AF4145" w:rsidRDefault="00AF4145" w:rsidP="00CF22D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AF4145">
        <w:rPr>
          <w:rFonts w:ascii="Times New Roman" w:hAnsi="Times New Roman" w:cs="Times New Roman"/>
          <w:sz w:val="24"/>
          <w:szCs w:val="24"/>
        </w:rPr>
        <w:t xml:space="preserve">В Париже одобрено историческое соглашение по климату[Электронный ресурс]. – Режим доступа http://tass.ru/obschestvo/2523208. – Заглавие с экрана. – (Дата обращения: </w:t>
      </w:r>
      <w:r>
        <w:rPr>
          <w:rFonts w:ascii="Times New Roman" w:hAnsi="Times New Roman" w:cs="Times New Roman"/>
          <w:sz w:val="24"/>
          <w:szCs w:val="24"/>
        </w:rPr>
        <w:t>24.03.2017</w:t>
      </w:r>
      <w:r w:rsidRPr="00AF4145">
        <w:rPr>
          <w:rFonts w:ascii="Times New Roman" w:hAnsi="Times New Roman" w:cs="Times New Roman"/>
          <w:sz w:val="24"/>
          <w:szCs w:val="24"/>
        </w:rPr>
        <w:t>).</w:t>
      </w:r>
    </w:p>
    <w:p w:rsidR="00AF4145" w:rsidRDefault="00AF4145" w:rsidP="00CF22D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AF4145">
        <w:rPr>
          <w:rFonts w:ascii="Times New Roman" w:hAnsi="Times New Roman" w:cs="Times New Roman"/>
          <w:sz w:val="24"/>
          <w:szCs w:val="24"/>
        </w:rPr>
        <w:t xml:space="preserve">Россия 4.0: четвертая промышленная революция как стимул глобальной конкурентоспособности [Электронный ресурс]. – Режим доступа http://tass.ru/pmef-2017/articles/4277607. – Заглавие с экрана. – (Дата обращения: </w:t>
      </w:r>
      <w:r>
        <w:rPr>
          <w:rFonts w:ascii="Times New Roman" w:hAnsi="Times New Roman" w:cs="Times New Roman"/>
          <w:sz w:val="24"/>
          <w:szCs w:val="24"/>
        </w:rPr>
        <w:t>24.03.2017</w:t>
      </w:r>
      <w:r w:rsidRPr="00AF4145">
        <w:rPr>
          <w:rFonts w:ascii="Times New Roman" w:hAnsi="Times New Roman" w:cs="Times New Roman"/>
          <w:sz w:val="24"/>
          <w:szCs w:val="24"/>
        </w:rPr>
        <w:t>).</w:t>
      </w:r>
    </w:p>
    <w:p w:rsidR="00AF4145" w:rsidRDefault="00AF4145" w:rsidP="00CF22D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AF4145">
        <w:rPr>
          <w:rFonts w:ascii="Times New Roman" w:hAnsi="Times New Roman" w:cs="Times New Roman"/>
          <w:sz w:val="24"/>
          <w:szCs w:val="24"/>
        </w:rPr>
        <w:t>Экспертно-аналитическийдоклад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F4145">
        <w:rPr>
          <w:rFonts w:ascii="Times New Roman" w:hAnsi="Times New Roman" w:cs="Times New Roman"/>
          <w:sz w:val="24"/>
          <w:szCs w:val="24"/>
        </w:rPr>
        <w:t>Цифровой переходв электроэнергетикероссии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AF4145">
        <w:rPr>
          <w:rFonts w:ascii="Times New Roman" w:hAnsi="Times New Roman" w:cs="Times New Roman"/>
          <w:sz w:val="24"/>
          <w:szCs w:val="24"/>
        </w:rPr>
        <w:t>под общей редакциейВ. Н. Княгинина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AF4145">
        <w:rPr>
          <w:rFonts w:ascii="Times New Roman" w:hAnsi="Times New Roman" w:cs="Times New Roman"/>
          <w:sz w:val="24"/>
          <w:szCs w:val="24"/>
        </w:rPr>
        <w:t xml:space="preserve"> Д. В. Холкина</w:t>
      </w:r>
      <w:r>
        <w:rPr>
          <w:rFonts w:ascii="Times New Roman" w:hAnsi="Times New Roman" w:cs="Times New Roman"/>
          <w:sz w:val="24"/>
          <w:szCs w:val="24"/>
        </w:rPr>
        <w:t xml:space="preserve">  // Москва </w:t>
      </w:r>
      <w:r w:rsidRPr="00137DB6">
        <w:rPr>
          <w:rFonts w:ascii="Times New Roman" w:hAnsi="Times New Roman" w:cs="Times New Roman"/>
          <w:sz w:val="24"/>
          <w:szCs w:val="24"/>
        </w:rPr>
        <w:t xml:space="preserve">— </w:t>
      </w:r>
      <w:r>
        <w:rPr>
          <w:rFonts w:ascii="Times New Roman" w:hAnsi="Times New Roman" w:cs="Times New Roman"/>
          <w:sz w:val="24"/>
          <w:szCs w:val="24"/>
        </w:rPr>
        <w:t>2017</w:t>
      </w:r>
    </w:p>
    <w:p w:rsidR="00AF4145" w:rsidRDefault="00AF4145" w:rsidP="00CF22D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4145">
        <w:rPr>
          <w:rFonts w:ascii="Times New Roman" w:hAnsi="Times New Roman" w:cs="Times New Roman"/>
          <w:sz w:val="24"/>
          <w:szCs w:val="24"/>
        </w:rPr>
        <w:t xml:space="preserve">7. </w:t>
      </w:r>
      <w:r w:rsidRPr="00AF4145">
        <w:rPr>
          <w:rFonts w:ascii="Times New Roman" w:hAnsi="Times New Roman" w:cs="Times New Roman"/>
          <w:sz w:val="24"/>
          <w:szCs w:val="24"/>
          <w:lang w:val="en-US"/>
        </w:rPr>
        <w:t>SolarPowerWillKillCoalFasterThanYouThink</w:t>
      </w:r>
      <w:r w:rsidRPr="00AF4145">
        <w:rPr>
          <w:rFonts w:ascii="Times New Roman" w:hAnsi="Times New Roman" w:cs="Times New Roman"/>
          <w:sz w:val="24"/>
          <w:szCs w:val="24"/>
        </w:rPr>
        <w:t xml:space="preserve"> [Электронный ресурс]. – Режим доступа: https://www.bloomberg.com/news/articles/2017-06-15/solar-power-will-kill-coal-sooner-than-you-think. – Заглавие с экрана. – (Дата обращения: </w:t>
      </w:r>
      <w:r>
        <w:rPr>
          <w:rFonts w:ascii="Times New Roman" w:hAnsi="Times New Roman" w:cs="Times New Roman"/>
          <w:sz w:val="24"/>
          <w:szCs w:val="24"/>
        </w:rPr>
        <w:t>2</w:t>
      </w:r>
      <w:r w:rsidR="006D24A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.03.2017</w:t>
      </w:r>
      <w:r w:rsidRPr="00AF4145">
        <w:rPr>
          <w:rFonts w:ascii="Times New Roman" w:hAnsi="Times New Roman" w:cs="Times New Roman"/>
          <w:sz w:val="24"/>
          <w:szCs w:val="24"/>
        </w:rPr>
        <w:t>).</w:t>
      </w:r>
    </w:p>
    <w:p w:rsidR="006D24A8" w:rsidRDefault="006D24A8" w:rsidP="00CF22D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24A8">
        <w:rPr>
          <w:rFonts w:ascii="Times New Roman" w:hAnsi="Times New Roman" w:cs="Times New Roman"/>
          <w:sz w:val="24"/>
          <w:szCs w:val="24"/>
          <w:lang w:val="en-US"/>
        </w:rPr>
        <w:t>8. Renewable Energy Prospects for the European Union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/ IRENA, 2018</w:t>
      </w:r>
      <w:r w:rsidRPr="005D31F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F4145">
        <w:rPr>
          <w:rFonts w:ascii="Times New Roman" w:hAnsi="Times New Roman" w:cs="Times New Roman"/>
          <w:sz w:val="24"/>
          <w:szCs w:val="24"/>
        </w:rPr>
        <w:t>[Электронный ресурс]. – Режим доступа:</w:t>
      </w:r>
      <w:r w:rsidRPr="006D24A8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6D24A8">
        <w:rPr>
          <w:rFonts w:ascii="Times New Roman" w:hAnsi="Times New Roman" w:cs="Times New Roman"/>
          <w:sz w:val="24"/>
          <w:szCs w:val="24"/>
        </w:rPr>
        <w:t>://</w:t>
      </w:r>
      <w:r w:rsidRPr="006D24A8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6D24A8">
        <w:rPr>
          <w:rFonts w:ascii="Times New Roman" w:hAnsi="Times New Roman" w:cs="Times New Roman"/>
          <w:sz w:val="24"/>
          <w:szCs w:val="24"/>
        </w:rPr>
        <w:t>.</w:t>
      </w:r>
      <w:r w:rsidRPr="006D24A8">
        <w:rPr>
          <w:rFonts w:ascii="Times New Roman" w:hAnsi="Times New Roman" w:cs="Times New Roman"/>
          <w:sz w:val="24"/>
          <w:szCs w:val="24"/>
          <w:lang w:val="en-US"/>
        </w:rPr>
        <w:t>irena</w:t>
      </w:r>
      <w:r w:rsidRPr="006D24A8">
        <w:rPr>
          <w:rFonts w:ascii="Times New Roman" w:hAnsi="Times New Roman" w:cs="Times New Roman"/>
          <w:sz w:val="24"/>
          <w:szCs w:val="24"/>
        </w:rPr>
        <w:t>.</w:t>
      </w:r>
      <w:r w:rsidRPr="006D24A8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6D24A8">
        <w:rPr>
          <w:rFonts w:ascii="Times New Roman" w:hAnsi="Times New Roman" w:cs="Times New Roman"/>
          <w:sz w:val="24"/>
          <w:szCs w:val="24"/>
        </w:rPr>
        <w:t>/-/</w:t>
      </w:r>
      <w:r w:rsidRPr="006D24A8">
        <w:rPr>
          <w:rFonts w:ascii="Times New Roman" w:hAnsi="Times New Roman" w:cs="Times New Roman"/>
          <w:sz w:val="24"/>
          <w:szCs w:val="24"/>
          <w:lang w:val="en-US"/>
        </w:rPr>
        <w:t>media</w:t>
      </w:r>
      <w:r w:rsidRPr="006D24A8">
        <w:rPr>
          <w:rFonts w:ascii="Times New Roman" w:hAnsi="Times New Roman" w:cs="Times New Roman"/>
          <w:sz w:val="24"/>
          <w:szCs w:val="24"/>
        </w:rPr>
        <w:t>/</w:t>
      </w:r>
      <w:r w:rsidRPr="006D24A8">
        <w:rPr>
          <w:rFonts w:ascii="Times New Roman" w:hAnsi="Times New Roman" w:cs="Times New Roman"/>
          <w:sz w:val="24"/>
          <w:szCs w:val="24"/>
          <w:lang w:val="en-US"/>
        </w:rPr>
        <w:t>Files</w:t>
      </w:r>
      <w:r w:rsidRPr="006D24A8">
        <w:rPr>
          <w:rFonts w:ascii="Times New Roman" w:hAnsi="Times New Roman" w:cs="Times New Roman"/>
          <w:sz w:val="24"/>
          <w:szCs w:val="24"/>
        </w:rPr>
        <w:t>/</w:t>
      </w:r>
      <w:r w:rsidRPr="006D24A8">
        <w:rPr>
          <w:rFonts w:ascii="Times New Roman" w:hAnsi="Times New Roman" w:cs="Times New Roman"/>
          <w:sz w:val="24"/>
          <w:szCs w:val="24"/>
          <w:lang w:val="en-US"/>
        </w:rPr>
        <w:t>IRENA</w:t>
      </w:r>
      <w:r w:rsidRPr="006D24A8">
        <w:rPr>
          <w:rFonts w:ascii="Times New Roman" w:hAnsi="Times New Roman" w:cs="Times New Roman"/>
          <w:sz w:val="24"/>
          <w:szCs w:val="24"/>
        </w:rPr>
        <w:t>/</w:t>
      </w:r>
      <w:r w:rsidRPr="006D24A8">
        <w:rPr>
          <w:rFonts w:ascii="Times New Roman" w:hAnsi="Times New Roman" w:cs="Times New Roman"/>
          <w:sz w:val="24"/>
          <w:szCs w:val="24"/>
          <w:lang w:val="en-US"/>
        </w:rPr>
        <w:t>Agency</w:t>
      </w:r>
      <w:r w:rsidRPr="006D24A8">
        <w:rPr>
          <w:rFonts w:ascii="Times New Roman" w:hAnsi="Times New Roman" w:cs="Times New Roman"/>
          <w:sz w:val="24"/>
          <w:szCs w:val="24"/>
        </w:rPr>
        <w:t>/</w:t>
      </w:r>
      <w:r w:rsidRPr="006D24A8">
        <w:rPr>
          <w:rFonts w:ascii="Times New Roman" w:hAnsi="Times New Roman" w:cs="Times New Roman"/>
          <w:sz w:val="24"/>
          <w:szCs w:val="24"/>
          <w:lang w:val="en-US"/>
        </w:rPr>
        <w:t>Publication</w:t>
      </w:r>
      <w:r w:rsidRPr="006D24A8">
        <w:rPr>
          <w:rFonts w:ascii="Times New Roman" w:hAnsi="Times New Roman" w:cs="Times New Roman"/>
          <w:sz w:val="24"/>
          <w:szCs w:val="24"/>
        </w:rPr>
        <w:t>/2018/</w:t>
      </w:r>
      <w:r w:rsidRPr="006D24A8">
        <w:rPr>
          <w:rFonts w:ascii="Times New Roman" w:hAnsi="Times New Roman" w:cs="Times New Roman"/>
          <w:sz w:val="24"/>
          <w:szCs w:val="24"/>
          <w:lang w:val="en-US"/>
        </w:rPr>
        <w:t>Jan</w:t>
      </w:r>
      <w:r w:rsidRPr="006D24A8">
        <w:rPr>
          <w:rFonts w:ascii="Times New Roman" w:hAnsi="Times New Roman" w:cs="Times New Roman"/>
          <w:sz w:val="24"/>
          <w:szCs w:val="24"/>
        </w:rPr>
        <w:t>/</w:t>
      </w:r>
      <w:r w:rsidRPr="006D24A8">
        <w:rPr>
          <w:rFonts w:ascii="Times New Roman" w:hAnsi="Times New Roman" w:cs="Times New Roman"/>
          <w:sz w:val="24"/>
          <w:szCs w:val="24"/>
          <w:lang w:val="en-US"/>
        </w:rPr>
        <w:t>IRENA</w:t>
      </w:r>
      <w:r w:rsidRPr="006D24A8">
        <w:rPr>
          <w:rFonts w:ascii="Times New Roman" w:hAnsi="Times New Roman" w:cs="Times New Roman"/>
          <w:sz w:val="24"/>
          <w:szCs w:val="24"/>
        </w:rPr>
        <w:t>_</w:t>
      </w:r>
      <w:r w:rsidRPr="006D24A8">
        <w:rPr>
          <w:rFonts w:ascii="Times New Roman" w:hAnsi="Times New Roman" w:cs="Times New Roman"/>
          <w:sz w:val="24"/>
          <w:szCs w:val="24"/>
          <w:lang w:val="en-US"/>
        </w:rPr>
        <w:t>REmap</w:t>
      </w:r>
      <w:r w:rsidRPr="006D24A8">
        <w:rPr>
          <w:rFonts w:ascii="Times New Roman" w:hAnsi="Times New Roman" w:cs="Times New Roman"/>
          <w:sz w:val="24"/>
          <w:szCs w:val="24"/>
        </w:rPr>
        <w:t>_</w:t>
      </w:r>
      <w:r w:rsidRPr="006D24A8">
        <w:rPr>
          <w:rFonts w:ascii="Times New Roman" w:hAnsi="Times New Roman" w:cs="Times New Roman"/>
          <w:sz w:val="24"/>
          <w:szCs w:val="24"/>
          <w:lang w:val="en-US"/>
        </w:rPr>
        <w:t>EU</w:t>
      </w:r>
      <w:r w:rsidRPr="006D24A8">
        <w:rPr>
          <w:rFonts w:ascii="Times New Roman" w:hAnsi="Times New Roman" w:cs="Times New Roman"/>
          <w:sz w:val="24"/>
          <w:szCs w:val="24"/>
        </w:rPr>
        <w:t>_</w:t>
      </w:r>
      <w:r w:rsidRPr="006D24A8">
        <w:rPr>
          <w:rFonts w:ascii="Times New Roman" w:hAnsi="Times New Roman" w:cs="Times New Roman"/>
          <w:sz w:val="24"/>
          <w:szCs w:val="24"/>
          <w:lang w:val="en-US"/>
        </w:rPr>
        <w:t>preview</w:t>
      </w:r>
      <w:r w:rsidRPr="006D24A8">
        <w:rPr>
          <w:rFonts w:ascii="Times New Roman" w:hAnsi="Times New Roman" w:cs="Times New Roman"/>
          <w:sz w:val="24"/>
          <w:szCs w:val="24"/>
        </w:rPr>
        <w:t>_2018.</w:t>
      </w:r>
      <w:r w:rsidRPr="006D24A8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AF4145">
        <w:rPr>
          <w:rFonts w:ascii="Times New Roman" w:hAnsi="Times New Roman" w:cs="Times New Roman"/>
          <w:sz w:val="24"/>
          <w:szCs w:val="24"/>
        </w:rPr>
        <w:t xml:space="preserve">– Заглавие с экрана. – (Дата обращения: </w:t>
      </w:r>
      <w:r>
        <w:rPr>
          <w:rFonts w:ascii="Times New Roman" w:hAnsi="Times New Roman" w:cs="Times New Roman"/>
          <w:sz w:val="24"/>
          <w:szCs w:val="24"/>
        </w:rPr>
        <w:t>22.03.2017</w:t>
      </w:r>
      <w:r w:rsidRPr="00AF4145">
        <w:rPr>
          <w:rFonts w:ascii="Times New Roman" w:hAnsi="Times New Roman" w:cs="Times New Roman"/>
          <w:sz w:val="24"/>
          <w:szCs w:val="24"/>
        </w:rPr>
        <w:t>).</w:t>
      </w:r>
    </w:p>
    <w:p w:rsidR="006D24A8" w:rsidRDefault="006D24A8" w:rsidP="00CF22D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6D24A8">
        <w:rPr>
          <w:rFonts w:ascii="Times New Roman" w:hAnsi="Times New Roman" w:cs="Times New Roman"/>
          <w:sz w:val="24"/>
          <w:szCs w:val="24"/>
        </w:rPr>
        <w:t>Электромобили: Китай оставил Германию далеко позади</w:t>
      </w:r>
      <w:r w:rsidRPr="00AF4145">
        <w:rPr>
          <w:rFonts w:ascii="Times New Roman" w:hAnsi="Times New Roman" w:cs="Times New Roman"/>
          <w:sz w:val="24"/>
          <w:szCs w:val="24"/>
        </w:rPr>
        <w:t>[Электронный ресурс]. – Режим доступа: https://www.</w:t>
      </w:r>
      <w:r>
        <w:rPr>
          <w:rFonts w:ascii="Times New Roman" w:hAnsi="Times New Roman" w:cs="Times New Roman"/>
          <w:sz w:val="24"/>
          <w:szCs w:val="24"/>
          <w:lang w:val="en-US"/>
        </w:rPr>
        <w:t>dw</w:t>
      </w:r>
      <w:r w:rsidRPr="00AF4145">
        <w:rPr>
          <w:rFonts w:ascii="Times New Roman" w:hAnsi="Times New Roman" w:cs="Times New Roman"/>
          <w:sz w:val="24"/>
          <w:szCs w:val="24"/>
        </w:rPr>
        <w:t>.com/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6D24A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электромобили-китай-оставил-германию-далеко-позади</w:t>
      </w:r>
      <w:r w:rsidRPr="006D24A8">
        <w:rPr>
          <w:rFonts w:ascii="Times New Roman" w:hAnsi="Times New Roman" w:cs="Times New Roman"/>
          <w:sz w:val="24"/>
          <w:szCs w:val="24"/>
        </w:rPr>
        <w:t>/a-19017921</w:t>
      </w:r>
      <w:r w:rsidRPr="00AF4145">
        <w:rPr>
          <w:rFonts w:ascii="Times New Roman" w:hAnsi="Times New Roman" w:cs="Times New Roman"/>
          <w:sz w:val="24"/>
          <w:szCs w:val="24"/>
        </w:rPr>
        <w:t xml:space="preserve"> – Заглавие с экрана. – (Дата обращения: </w:t>
      </w:r>
      <w:r>
        <w:rPr>
          <w:rFonts w:ascii="Times New Roman" w:hAnsi="Times New Roman" w:cs="Times New Roman"/>
          <w:sz w:val="24"/>
          <w:szCs w:val="24"/>
        </w:rPr>
        <w:t>22.03.2017</w:t>
      </w:r>
      <w:r w:rsidRPr="00AF4145">
        <w:rPr>
          <w:rFonts w:ascii="Times New Roman" w:hAnsi="Times New Roman" w:cs="Times New Roman"/>
          <w:sz w:val="24"/>
          <w:szCs w:val="24"/>
        </w:rPr>
        <w:t>).</w:t>
      </w:r>
    </w:p>
    <w:p w:rsidR="006D24A8" w:rsidRDefault="006D24A8" w:rsidP="00CF22D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24A8">
        <w:rPr>
          <w:rFonts w:ascii="Times New Roman" w:hAnsi="Times New Roman" w:cs="Times New Roman"/>
          <w:sz w:val="24"/>
          <w:szCs w:val="24"/>
        </w:rPr>
        <w:lastRenderedPageBreak/>
        <w:t xml:space="preserve">10. </w:t>
      </w:r>
      <w:r w:rsidRPr="006D24A8">
        <w:rPr>
          <w:rFonts w:ascii="Times New Roman" w:hAnsi="Times New Roman" w:cs="Times New Roman"/>
          <w:sz w:val="24"/>
          <w:szCs w:val="24"/>
          <w:lang w:val="en-US"/>
        </w:rPr>
        <w:t>GlobalStorageMarkettoDoubleSixTimesby</w:t>
      </w:r>
      <w:r w:rsidRPr="006D24A8">
        <w:rPr>
          <w:rFonts w:ascii="Times New Roman" w:hAnsi="Times New Roman" w:cs="Times New Roman"/>
          <w:sz w:val="24"/>
          <w:szCs w:val="24"/>
        </w:rPr>
        <w:t xml:space="preserve"> 2030</w:t>
      </w:r>
      <w:r w:rsidRPr="00AF4145">
        <w:rPr>
          <w:rFonts w:ascii="Times New Roman" w:hAnsi="Times New Roman" w:cs="Times New Roman"/>
          <w:sz w:val="24"/>
          <w:szCs w:val="24"/>
        </w:rPr>
        <w:t>[Электронный ресурс]. – Режим доступа</w:t>
      </w:r>
      <w:r w:rsidRPr="006D24A8">
        <w:rPr>
          <w:rFonts w:ascii="Times New Roman" w:hAnsi="Times New Roman" w:cs="Times New Roman"/>
          <w:sz w:val="24"/>
          <w:szCs w:val="24"/>
        </w:rPr>
        <w:t>https://about.bnef.com/blog/global-storage-market-double-six-times-2030/</w:t>
      </w:r>
      <w:r w:rsidRPr="00AF4145">
        <w:rPr>
          <w:rFonts w:ascii="Times New Roman" w:hAnsi="Times New Roman" w:cs="Times New Roman"/>
          <w:sz w:val="24"/>
          <w:szCs w:val="24"/>
        </w:rPr>
        <w:t xml:space="preserve"> – Заглавие с экрана. – (Дата обращения: </w:t>
      </w:r>
      <w:r>
        <w:rPr>
          <w:rFonts w:ascii="Times New Roman" w:hAnsi="Times New Roman" w:cs="Times New Roman"/>
          <w:sz w:val="24"/>
          <w:szCs w:val="24"/>
        </w:rPr>
        <w:t>22.03.2017</w:t>
      </w:r>
      <w:r w:rsidRPr="00AF4145">
        <w:rPr>
          <w:rFonts w:ascii="Times New Roman" w:hAnsi="Times New Roman" w:cs="Times New Roman"/>
          <w:sz w:val="24"/>
          <w:szCs w:val="24"/>
        </w:rPr>
        <w:t>).</w:t>
      </w:r>
    </w:p>
    <w:p w:rsidR="006D24A8" w:rsidRDefault="006D24A8" w:rsidP="00CF22D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24A8">
        <w:rPr>
          <w:rFonts w:ascii="Times New Roman" w:hAnsi="Times New Roman" w:cs="Times New Roman"/>
          <w:sz w:val="24"/>
          <w:szCs w:val="24"/>
          <w:lang w:val="en-US"/>
        </w:rPr>
        <w:t>11. Internet of Things and Intermachine Communication. Situation overview in Russia and Worldwide[</w:t>
      </w:r>
      <w:r w:rsidRPr="00AF4145">
        <w:rPr>
          <w:rFonts w:ascii="Times New Roman" w:hAnsi="Times New Roman" w:cs="Times New Roman"/>
          <w:sz w:val="24"/>
          <w:szCs w:val="24"/>
        </w:rPr>
        <w:t>Электронныйресурс</w:t>
      </w:r>
      <w:r w:rsidRPr="006D24A8">
        <w:rPr>
          <w:rFonts w:ascii="Times New Roman" w:hAnsi="Times New Roman" w:cs="Times New Roman"/>
          <w:sz w:val="24"/>
          <w:szCs w:val="24"/>
          <w:lang w:val="en-US"/>
        </w:rPr>
        <w:t xml:space="preserve">]. – </w:t>
      </w:r>
      <w:r w:rsidRPr="00AF4145">
        <w:rPr>
          <w:rFonts w:ascii="Times New Roman" w:hAnsi="Times New Roman" w:cs="Times New Roman"/>
          <w:sz w:val="24"/>
          <w:szCs w:val="24"/>
        </w:rPr>
        <w:t>Режимдоступа</w:t>
      </w:r>
      <w:r w:rsidRPr="006D24A8">
        <w:rPr>
          <w:rFonts w:ascii="Times New Roman" w:hAnsi="Times New Roman" w:cs="Times New Roman"/>
          <w:sz w:val="24"/>
          <w:szCs w:val="24"/>
          <w:lang w:val="en-US"/>
        </w:rPr>
        <w:t xml:space="preserve"> http://json.tv/en/ict_telecom_analytics_view/internet-of-things-and-intermachine-communication-situation-overview-in-russia-and-worldwide-2014091002201841 – </w:t>
      </w:r>
      <w:r w:rsidRPr="00AF4145">
        <w:rPr>
          <w:rFonts w:ascii="Times New Roman" w:hAnsi="Times New Roman" w:cs="Times New Roman"/>
          <w:sz w:val="24"/>
          <w:szCs w:val="24"/>
        </w:rPr>
        <w:t>Заглавиесэкрана</w:t>
      </w:r>
      <w:r w:rsidRPr="006D24A8">
        <w:rPr>
          <w:rFonts w:ascii="Times New Roman" w:hAnsi="Times New Roman" w:cs="Times New Roman"/>
          <w:sz w:val="24"/>
          <w:szCs w:val="24"/>
          <w:lang w:val="en-US"/>
        </w:rPr>
        <w:t>. – (</w:t>
      </w:r>
      <w:r w:rsidRPr="00AF4145">
        <w:rPr>
          <w:rFonts w:ascii="Times New Roman" w:hAnsi="Times New Roman" w:cs="Times New Roman"/>
          <w:sz w:val="24"/>
          <w:szCs w:val="24"/>
        </w:rPr>
        <w:t>Датаобращения</w:t>
      </w:r>
      <w:r w:rsidRPr="006D24A8">
        <w:rPr>
          <w:rFonts w:ascii="Times New Roman" w:hAnsi="Times New Roman" w:cs="Times New Roman"/>
          <w:sz w:val="24"/>
          <w:szCs w:val="24"/>
          <w:lang w:val="en-US"/>
        </w:rPr>
        <w:t>: 22.03.2017).</w:t>
      </w:r>
    </w:p>
    <w:p w:rsidR="006D24A8" w:rsidRPr="006D24A8" w:rsidRDefault="006D24A8" w:rsidP="00CF22D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24A8">
        <w:rPr>
          <w:rFonts w:ascii="Times New Roman" w:hAnsi="Times New Roman" w:cs="Times New Roman"/>
          <w:sz w:val="24"/>
          <w:szCs w:val="24"/>
        </w:rPr>
        <w:t xml:space="preserve">12. </w:t>
      </w:r>
      <w:r w:rsidRPr="006D24A8">
        <w:rPr>
          <w:rFonts w:ascii="Times New Roman" w:hAnsi="Times New Roman" w:cs="Times New Roman"/>
          <w:sz w:val="24"/>
          <w:szCs w:val="24"/>
          <w:lang w:val="en-US"/>
        </w:rPr>
        <w:t>InternetofEnergy</w:t>
      </w:r>
      <w:r w:rsidRPr="006D24A8">
        <w:rPr>
          <w:rFonts w:ascii="Times New Roman" w:hAnsi="Times New Roman" w:cs="Times New Roman"/>
          <w:sz w:val="24"/>
          <w:szCs w:val="24"/>
        </w:rPr>
        <w:t>: как распределенная энергетика повлияет на безопасность, цены на электричество и экологию [</w:t>
      </w:r>
      <w:r w:rsidRPr="00AF4145">
        <w:rPr>
          <w:rFonts w:ascii="Times New Roman" w:hAnsi="Times New Roman" w:cs="Times New Roman"/>
          <w:sz w:val="24"/>
          <w:szCs w:val="24"/>
        </w:rPr>
        <w:t>Электронныйресурс</w:t>
      </w:r>
      <w:r w:rsidRPr="006D24A8">
        <w:rPr>
          <w:rFonts w:ascii="Times New Roman" w:hAnsi="Times New Roman" w:cs="Times New Roman"/>
          <w:sz w:val="24"/>
          <w:szCs w:val="24"/>
        </w:rPr>
        <w:t xml:space="preserve">]. – </w:t>
      </w:r>
      <w:r w:rsidRPr="00AF4145">
        <w:rPr>
          <w:rFonts w:ascii="Times New Roman" w:hAnsi="Times New Roman" w:cs="Times New Roman"/>
          <w:sz w:val="24"/>
          <w:szCs w:val="24"/>
        </w:rPr>
        <w:t>Режимдоступа</w:t>
      </w:r>
      <w:r w:rsidRPr="006D24A8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6D24A8">
        <w:rPr>
          <w:rFonts w:ascii="Times New Roman" w:hAnsi="Times New Roman" w:cs="Times New Roman"/>
          <w:sz w:val="24"/>
          <w:szCs w:val="24"/>
        </w:rPr>
        <w:t>://</w:t>
      </w:r>
      <w:r w:rsidRPr="006D24A8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6D24A8">
        <w:rPr>
          <w:rFonts w:ascii="Times New Roman" w:hAnsi="Times New Roman" w:cs="Times New Roman"/>
          <w:sz w:val="24"/>
          <w:szCs w:val="24"/>
        </w:rPr>
        <w:t>.</w:t>
      </w:r>
      <w:r w:rsidRPr="006D24A8">
        <w:rPr>
          <w:rFonts w:ascii="Times New Roman" w:hAnsi="Times New Roman" w:cs="Times New Roman"/>
          <w:sz w:val="24"/>
          <w:szCs w:val="24"/>
          <w:lang w:val="en-US"/>
        </w:rPr>
        <w:t>forbes</w:t>
      </w:r>
      <w:r w:rsidRPr="006D24A8">
        <w:rPr>
          <w:rFonts w:ascii="Times New Roman" w:hAnsi="Times New Roman" w:cs="Times New Roman"/>
          <w:sz w:val="24"/>
          <w:szCs w:val="24"/>
        </w:rPr>
        <w:t>.</w:t>
      </w:r>
      <w:r w:rsidRPr="006D24A8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6D24A8">
        <w:rPr>
          <w:rFonts w:ascii="Times New Roman" w:hAnsi="Times New Roman" w:cs="Times New Roman"/>
          <w:sz w:val="24"/>
          <w:szCs w:val="24"/>
        </w:rPr>
        <w:t>/</w:t>
      </w:r>
      <w:r w:rsidRPr="006D24A8">
        <w:rPr>
          <w:rFonts w:ascii="Times New Roman" w:hAnsi="Times New Roman" w:cs="Times New Roman"/>
          <w:sz w:val="24"/>
          <w:szCs w:val="24"/>
          <w:lang w:val="en-US"/>
        </w:rPr>
        <w:t>biznes</w:t>
      </w:r>
      <w:r w:rsidRPr="006D24A8">
        <w:rPr>
          <w:rFonts w:ascii="Times New Roman" w:hAnsi="Times New Roman" w:cs="Times New Roman"/>
          <w:sz w:val="24"/>
          <w:szCs w:val="24"/>
        </w:rPr>
        <w:t>/351485-</w:t>
      </w:r>
      <w:r w:rsidRPr="006D24A8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6D24A8">
        <w:rPr>
          <w:rFonts w:ascii="Times New Roman" w:hAnsi="Times New Roman" w:cs="Times New Roman"/>
          <w:sz w:val="24"/>
          <w:szCs w:val="24"/>
        </w:rPr>
        <w:t>-</w:t>
      </w:r>
      <w:r w:rsidRPr="006D24A8">
        <w:rPr>
          <w:rFonts w:ascii="Times New Roman" w:hAnsi="Times New Roman" w:cs="Times New Roman"/>
          <w:sz w:val="24"/>
          <w:szCs w:val="24"/>
          <w:lang w:val="en-US"/>
        </w:rPr>
        <w:t>energy</w:t>
      </w:r>
      <w:r w:rsidRPr="006D24A8">
        <w:rPr>
          <w:rFonts w:ascii="Times New Roman" w:hAnsi="Times New Roman" w:cs="Times New Roman"/>
          <w:sz w:val="24"/>
          <w:szCs w:val="24"/>
        </w:rPr>
        <w:t>-</w:t>
      </w:r>
      <w:r w:rsidRPr="006D24A8">
        <w:rPr>
          <w:rFonts w:ascii="Times New Roman" w:hAnsi="Times New Roman" w:cs="Times New Roman"/>
          <w:sz w:val="24"/>
          <w:szCs w:val="24"/>
          <w:lang w:val="en-US"/>
        </w:rPr>
        <w:t>kak</w:t>
      </w:r>
      <w:r w:rsidRPr="006D24A8">
        <w:rPr>
          <w:rFonts w:ascii="Times New Roman" w:hAnsi="Times New Roman" w:cs="Times New Roman"/>
          <w:sz w:val="24"/>
          <w:szCs w:val="24"/>
        </w:rPr>
        <w:t>-</w:t>
      </w:r>
      <w:r w:rsidRPr="006D24A8">
        <w:rPr>
          <w:rFonts w:ascii="Times New Roman" w:hAnsi="Times New Roman" w:cs="Times New Roman"/>
          <w:sz w:val="24"/>
          <w:szCs w:val="24"/>
          <w:lang w:val="en-US"/>
        </w:rPr>
        <w:t>raspredelennaya</w:t>
      </w:r>
      <w:r w:rsidRPr="006D24A8">
        <w:rPr>
          <w:rFonts w:ascii="Times New Roman" w:hAnsi="Times New Roman" w:cs="Times New Roman"/>
          <w:sz w:val="24"/>
          <w:szCs w:val="24"/>
        </w:rPr>
        <w:t>-</w:t>
      </w:r>
      <w:r w:rsidRPr="006D24A8">
        <w:rPr>
          <w:rFonts w:ascii="Times New Roman" w:hAnsi="Times New Roman" w:cs="Times New Roman"/>
          <w:sz w:val="24"/>
          <w:szCs w:val="24"/>
          <w:lang w:val="en-US"/>
        </w:rPr>
        <w:t>energetika</w:t>
      </w:r>
      <w:r w:rsidRPr="006D24A8">
        <w:rPr>
          <w:rFonts w:ascii="Times New Roman" w:hAnsi="Times New Roman" w:cs="Times New Roman"/>
          <w:sz w:val="24"/>
          <w:szCs w:val="24"/>
        </w:rPr>
        <w:t>-</w:t>
      </w:r>
      <w:r w:rsidRPr="006D24A8">
        <w:rPr>
          <w:rFonts w:ascii="Times New Roman" w:hAnsi="Times New Roman" w:cs="Times New Roman"/>
          <w:sz w:val="24"/>
          <w:szCs w:val="24"/>
          <w:lang w:val="en-US"/>
        </w:rPr>
        <w:t>povliyaet</w:t>
      </w:r>
      <w:r w:rsidRPr="006D24A8">
        <w:rPr>
          <w:rFonts w:ascii="Times New Roman" w:hAnsi="Times New Roman" w:cs="Times New Roman"/>
          <w:sz w:val="24"/>
          <w:szCs w:val="24"/>
        </w:rPr>
        <w:t>-</w:t>
      </w:r>
      <w:r w:rsidRPr="006D24A8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6D24A8">
        <w:rPr>
          <w:rFonts w:ascii="Times New Roman" w:hAnsi="Times New Roman" w:cs="Times New Roman"/>
          <w:sz w:val="24"/>
          <w:szCs w:val="24"/>
        </w:rPr>
        <w:t>-</w:t>
      </w:r>
      <w:r w:rsidRPr="006D24A8">
        <w:rPr>
          <w:rFonts w:ascii="Times New Roman" w:hAnsi="Times New Roman" w:cs="Times New Roman"/>
          <w:sz w:val="24"/>
          <w:szCs w:val="24"/>
          <w:lang w:val="en-US"/>
        </w:rPr>
        <w:t>bezopasnost</w:t>
      </w:r>
      <w:r w:rsidRPr="006D24A8">
        <w:rPr>
          <w:rFonts w:ascii="Times New Roman" w:hAnsi="Times New Roman" w:cs="Times New Roman"/>
          <w:sz w:val="24"/>
          <w:szCs w:val="24"/>
        </w:rPr>
        <w:t>-</w:t>
      </w:r>
      <w:r w:rsidRPr="006D24A8">
        <w:rPr>
          <w:rFonts w:ascii="Times New Roman" w:hAnsi="Times New Roman" w:cs="Times New Roman"/>
          <w:sz w:val="24"/>
          <w:szCs w:val="24"/>
          <w:lang w:val="en-US"/>
        </w:rPr>
        <w:t>ceny</w:t>
      </w:r>
      <w:r w:rsidRPr="006D24A8">
        <w:rPr>
          <w:rFonts w:ascii="Times New Roman" w:hAnsi="Times New Roman" w:cs="Times New Roman"/>
          <w:sz w:val="24"/>
          <w:szCs w:val="24"/>
        </w:rPr>
        <w:t>-</w:t>
      </w:r>
      <w:r w:rsidRPr="006D24A8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6D24A8">
        <w:rPr>
          <w:rFonts w:ascii="Times New Roman" w:hAnsi="Times New Roman" w:cs="Times New Roman"/>
          <w:sz w:val="24"/>
          <w:szCs w:val="24"/>
        </w:rPr>
        <w:t xml:space="preserve"> – </w:t>
      </w:r>
      <w:r w:rsidRPr="00AF4145">
        <w:rPr>
          <w:rFonts w:ascii="Times New Roman" w:hAnsi="Times New Roman" w:cs="Times New Roman"/>
          <w:sz w:val="24"/>
          <w:szCs w:val="24"/>
        </w:rPr>
        <w:t>Заглавиесэкрана</w:t>
      </w:r>
      <w:r w:rsidRPr="006D24A8">
        <w:rPr>
          <w:rFonts w:ascii="Times New Roman" w:hAnsi="Times New Roman" w:cs="Times New Roman"/>
          <w:sz w:val="24"/>
          <w:szCs w:val="24"/>
        </w:rPr>
        <w:t>. – (</w:t>
      </w:r>
      <w:r w:rsidRPr="00AF4145">
        <w:rPr>
          <w:rFonts w:ascii="Times New Roman" w:hAnsi="Times New Roman" w:cs="Times New Roman"/>
          <w:sz w:val="24"/>
          <w:szCs w:val="24"/>
        </w:rPr>
        <w:t>Датаобращения</w:t>
      </w:r>
      <w:r w:rsidRPr="006D24A8">
        <w:rPr>
          <w:rFonts w:ascii="Times New Roman" w:hAnsi="Times New Roman" w:cs="Times New Roman"/>
          <w:sz w:val="24"/>
          <w:szCs w:val="24"/>
        </w:rPr>
        <w:t>: 22.03.2017).</w:t>
      </w:r>
    </w:p>
    <w:p w:rsidR="006D24A8" w:rsidRPr="006D24A8" w:rsidRDefault="006D24A8" w:rsidP="006D24A8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D24A8" w:rsidRPr="006D24A8" w:rsidRDefault="006D24A8" w:rsidP="006D24A8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D24A8" w:rsidRPr="006D24A8" w:rsidRDefault="006D24A8" w:rsidP="006D24A8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D24A8" w:rsidRPr="006D24A8" w:rsidRDefault="006D24A8" w:rsidP="006D24A8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D24A8" w:rsidRPr="006D24A8" w:rsidRDefault="006D24A8" w:rsidP="006D24A8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F4145" w:rsidRPr="006D24A8" w:rsidRDefault="00AF4145" w:rsidP="00AF4145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F4145" w:rsidRPr="006D24A8" w:rsidRDefault="00AF4145" w:rsidP="00AF4145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AF4145" w:rsidRPr="006D24A8" w:rsidSect="003F310F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771" w:rsidRDefault="00A33771" w:rsidP="00F90519">
      <w:pPr>
        <w:spacing w:after="0" w:line="240" w:lineRule="auto"/>
      </w:pPr>
      <w:r>
        <w:separator/>
      </w:r>
    </w:p>
  </w:endnote>
  <w:endnote w:type="continuationSeparator" w:id="1">
    <w:p w:rsidR="00A33771" w:rsidRDefault="00A33771" w:rsidP="00F90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92336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96377" w:rsidRPr="00996377" w:rsidRDefault="00996377">
        <w:pPr>
          <w:pStyle w:val="af2"/>
          <w:jc w:val="right"/>
          <w:rPr>
            <w:rFonts w:ascii="Times New Roman" w:hAnsi="Times New Roman" w:cs="Times New Roman"/>
          </w:rPr>
        </w:pPr>
        <w:r w:rsidRPr="00996377">
          <w:rPr>
            <w:rFonts w:ascii="Times New Roman" w:hAnsi="Times New Roman" w:cs="Times New Roman"/>
          </w:rPr>
          <w:fldChar w:fldCharType="begin"/>
        </w:r>
        <w:r w:rsidRPr="00996377">
          <w:rPr>
            <w:rFonts w:ascii="Times New Roman" w:hAnsi="Times New Roman" w:cs="Times New Roman"/>
          </w:rPr>
          <w:instrText xml:space="preserve"> PAGE   \* MERGEFORMAT </w:instrText>
        </w:r>
        <w:r w:rsidRPr="00996377">
          <w:rPr>
            <w:rFonts w:ascii="Times New Roman" w:hAnsi="Times New Roman" w:cs="Times New Roman"/>
          </w:rPr>
          <w:fldChar w:fldCharType="separate"/>
        </w:r>
        <w:r w:rsidR="00477A51">
          <w:rPr>
            <w:rFonts w:ascii="Times New Roman" w:hAnsi="Times New Roman" w:cs="Times New Roman"/>
            <w:noProof/>
          </w:rPr>
          <w:t>2</w:t>
        </w:r>
        <w:r w:rsidRPr="00996377">
          <w:rPr>
            <w:rFonts w:ascii="Times New Roman" w:hAnsi="Times New Roman" w:cs="Times New Roman"/>
          </w:rPr>
          <w:fldChar w:fldCharType="end"/>
        </w:r>
      </w:p>
    </w:sdtContent>
  </w:sdt>
  <w:p w:rsidR="00996377" w:rsidRDefault="0099637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771" w:rsidRDefault="00A33771" w:rsidP="00F90519">
      <w:pPr>
        <w:spacing w:after="0" w:line="240" w:lineRule="auto"/>
      </w:pPr>
      <w:r>
        <w:separator/>
      </w:r>
    </w:p>
  </w:footnote>
  <w:footnote w:type="continuationSeparator" w:id="1">
    <w:p w:rsidR="00A33771" w:rsidRDefault="00A33771" w:rsidP="00F90519">
      <w:pPr>
        <w:spacing w:after="0" w:line="240" w:lineRule="auto"/>
      </w:pPr>
      <w:r>
        <w:continuationSeparator/>
      </w:r>
    </w:p>
  </w:footnote>
  <w:footnote w:id="2">
    <w:p w:rsidR="00F90519" w:rsidRPr="00996377" w:rsidRDefault="00F90519">
      <w:pPr>
        <w:pStyle w:val="ad"/>
      </w:pPr>
      <w:r w:rsidRPr="00F90519">
        <w:rPr>
          <w:rStyle w:val="af"/>
          <w:sz w:val="16"/>
        </w:rPr>
        <w:footnoteRef/>
      </w:r>
      <w:r w:rsidRPr="00F90519">
        <w:rPr>
          <w:rFonts w:ascii="Times New Roman" w:hAnsi="Times New Roman" w:cs="Times New Roman"/>
          <w:szCs w:val="24"/>
        </w:rPr>
        <w:t>Ермоленко Б.Насколько высок технически реализуемый потенциал ВИЭ в России? / Б. Ермоленко, Г. Ермоленко Л. Проскурякова // ТЭК России — 2017.— № 9.— С. 23.</w:t>
      </w:r>
    </w:p>
  </w:footnote>
  <w:footnote w:id="3">
    <w:p w:rsidR="00F90519" w:rsidRPr="00996377" w:rsidRDefault="00F90519">
      <w:pPr>
        <w:pStyle w:val="ad"/>
      </w:pPr>
      <w:r>
        <w:rPr>
          <w:rStyle w:val="af"/>
        </w:rPr>
        <w:footnoteRef/>
      </w:r>
      <w:r w:rsidRPr="00F90519">
        <w:rPr>
          <w:rFonts w:ascii="Times New Roman" w:hAnsi="Times New Roman" w:cs="Times New Roman"/>
          <w:szCs w:val="24"/>
        </w:rPr>
        <w:t>Волошин А.А. Интеллектуальная система электроснабжения на базе персональных энергоблоков / А.А. Волошин, Е.А. Волошин, Е.И. Рогозинников // ЭЭПИР — 2017.— № 1.— С. 18-22.</w:t>
      </w:r>
    </w:p>
  </w:footnote>
  <w:footnote w:id="4">
    <w:p w:rsidR="00F90519" w:rsidRDefault="00F90519">
      <w:pPr>
        <w:pStyle w:val="ad"/>
        <w:rPr>
          <w:rFonts w:ascii="Times New Roman" w:hAnsi="Times New Roman" w:cs="Times New Roman"/>
          <w:szCs w:val="24"/>
        </w:rPr>
      </w:pPr>
      <w:r>
        <w:rPr>
          <w:rStyle w:val="af"/>
        </w:rPr>
        <w:footnoteRef/>
      </w:r>
      <w:r w:rsidRPr="00F90519">
        <w:rPr>
          <w:rFonts w:ascii="Times New Roman" w:hAnsi="Times New Roman" w:cs="Times New Roman"/>
          <w:szCs w:val="24"/>
        </w:rPr>
        <w:t>Правительство утвердило правила, по которым население сможет продавать в общую сеть электроэнергию «домашней микрогенерации» [Электронный ресурс]. – Режим доступа: http://www.bigpowernews.ru/markets/document78459.phtml. – Заглавие с экрана. – (Дата обращения: 24.03.2017).</w:t>
      </w:r>
    </w:p>
    <w:p w:rsidR="00F90519" w:rsidRPr="00F90519" w:rsidRDefault="00F90519">
      <w:pPr>
        <w:pStyle w:val="ad"/>
      </w:pPr>
    </w:p>
  </w:footnote>
  <w:footnote w:id="5">
    <w:p w:rsidR="00F90519" w:rsidRPr="00F90519" w:rsidRDefault="00F90519">
      <w:pPr>
        <w:pStyle w:val="ad"/>
        <w:rPr>
          <w:sz w:val="16"/>
        </w:rPr>
      </w:pPr>
      <w:r>
        <w:rPr>
          <w:rStyle w:val="af"/>
        </w:rPr>
        <w:footnoteRef/>
      </w:r>
      <w:r w:rsidRPr="00F90519">
        <w:rPr>
          <w:rFonts w:ascii="Times New Roman" w:hAnsi="Times New Roman" w:cs="Times New Roman"/>
          <w:szCs w:val="24"/>
        </w:rPr>
        <w:t>В Париже одобрено историческое соглашение по климату[Электронный ресурс]. – Режим доступа http://tass.ru/obschestvo/2523208. – Заглавие с экрана. – (Дата обращения: 24.03.2017).</w:t>
      </w:r>
    </w:p>
  </w:footnote>
  <w:footnote w:id="6">
    <w:p w:rsidR="00F90519" w:rsidRPr="00F90519" w:rsidRDefault="00F90519">
      <w:pPr>
        <w:pStyle w:val="ad"/>
        <w:rPr>
          <w:sz w:val="16"/>
        </w:rPr>
      </w:pPr>
      <w:r>
        <w:rPr>
          <w:rStyle w:val="af"/>
        </w:rPr>
        <w:footnoteRef/>
      </w:r>
      <w:r w:rsidRPr="00F90519">
        <w:rPr>
          <w:rFonts w:ascii="Times New Roman" w:hAnsi="Times New Roman" w:cs="Times New Roman"/>
          <w:szCs w:val="24"/>
        </w:rPr>
        <w:t>Россия 4.0: четвертая промышленная революция как стимул глобальной конкурентоспособности  [Электронный ресурс]. – Режим доступа http://tass.ru/pmef-2017/articles/4277607. – Заглавие с экрана. – (Дата обращения: 24.03.2017).</w:t>
      </w:r>
    </w:p>
  </w:footnote>
  <w:footnote w:id="7">
    <w:p w:rsidR="00F90519" w:rsidRPr="00F90519" w:rsidRDefault="00F90519">
      <w:pPr>
        <w:pStyle w:val="ad"/>
      </w:pPr>
      <w:r>
        <w:rPr>
          <w:rStyle w:val="af"/>
        </w:rPr>
        <w:footnoteRef/>
      </w:r>
      <w:r w:rsidRPr="00F90519">
        <w:rPr>
          <w:rFonts w:ascii="Times New Roman" w:hAnsi="Times New Roman" w:cs="Times New Roman"/>
          <w:szCs w:val="24"/>
        </w:rPr>
        <w:t xml:space="preserve">Экспертно-аналитический доклад. Цифровой переход в электроэнергетике </w:t>
      </w:r>
      <w:r w:rsidR="00E0405D">
        <w:rPr>
          <w:rFonts w:ascii="Times New Roman" w:hAnsi="Times New Roman" w:cs="Times New Roman"/>
          <w:szCs w:val="24"/>
        </w:rPr>
        <w:t>Р</w:t>
      </w:r>
      <w:r w:rsidRPr="00F90519">
        <w:rPr>
          <w:rFonts w:ascii="Times New Roman" w:hAnsi="Times New Roman" w:cs="Times New Roman"/>
          <w:szCs w:val="24"/>
        </w:rPr>
        <w:t>оссии / под общей редакцией В. Н. Княгинина и Д. В. Холкина  // Москва — 2017</w:t>
      </w:r>
    </w:p>
  </w:footnote>
  <w:footnote w:id="8">
    <w:p w:rsidR="00F90519" w:rsidRPr="00F90519" w:rsidRDefault="00F90519" w:rsidP="00F90519">
      <w:pPr>
        <w:pStyle w:val="a4"/>
        <w:rPr>
          <w:sz w:val="16"/>
        </w:rPr>
      </w:pPr>
      <w:r>
        <w:rPr>
          <w:rStyle w:val="af"/>
        </w:rPr>
        <w:footnoteRef/>
      </w:r>
      <w:r w:rsidRPr="00F90519">
        <w:rPr>
          <w:rFonts w:ascii="Times New Roman" w:hAnsi="Times New Roman" w:cs="Times New Roman"/>
          <w:szCs w:val="24"/>
          <w:lang w:val="en-US"/>
        </w:rPr>
        <w:t>SolarPowerWillKillCoalFasterThanYouThink</w:t>
      </w:r>
      <w:r w:rsidRPr="00F90519">
        <w:rPr>
          <w:rFonts w:ascii="Times New Roman" w:hAnsi="Times New Roman" w:cs="Times New Roman"/>
          <w:szCs w:val="24"/>
        </w:rPr>
        <w:t xml:space="preserve"> [Электронный ресурс]. – Режим доступа: https://www.bloomberg.com/news/articles/2017-06-15/solar-power-will-kill-coal-sooner-than-you-think. – Заглавие с экрана. – (Дата обращения: 22.03.2017).</w:t>
      </w:r>
    </w:p>
    <w:p w:rsidR="00F90519" w:rsidRDefault="00F90519">
      <w:pPr>
        <w:pStyle w:val="ad"/>
      </w:pPr>
    </w:p>
  </w:footnote>
  <w:footnote w:id="9">
    <w:p w:rsidR="00F90519" w:rsidRDefault="00F90519">
      <w:pPr>
        <w:pStyle w:val="ad"/>
      </w:pPr>
      <w:r>
        <w:rPr>
          <w:rStyle w:val="af"/>
        </w:rPr>
        <w:footnoteRef/>
      </w:r>
      <w:r w:rsidRPr="00F90519">
        <w:rPr>
          <w:rFonts w:ascii="Times New Roman" w:hAnsi="Times New Roman" w:cs="Times New Roman"/>
          <w:szCs w:val="24"/>
          <w:lang w:val="en-US"/>
        </w:rPr>
        <w:t xml:space="preserve">Renewable Energy Prospects for the European Union / IRENA, 2018. </w:t>
      </w:r>
      <w:r w:rsidRPr="00F90519">
        <w:rPr>
          <w:rFonts w:ascii="Times New Roman" w:hAnsi="Times New Roman" w:cs="Times New Roman"/>
          <w:szCs w:val="24"/>
        </w:rPr>
        <w:t>[Электронный ресурс]. – Режим доступа:</w:t>
      </w:r>
      <w:r w:rsidRPr="00F90519">
        <w:rPr>
          <w:rFonts w:ascii="Times New Roman" w:hAnsi="Times New Roman" w:cs="Times New Roman"/>
          <w:szCs w:val="24"/>
          <w:lang w:val="en-US"/>
        </w:rPr>
        <w:t>https</w:t>
      </w:r>
      <w:r w:rsidRPr="00F90519">
        <w:rPr>
          <w:rFonts w:ascii="Times New Roman" w:hAnsi="Times New Roman" w:cs="Times New Roman"/>
          <w:szCs w:val="24"/>
        </w:rPr>
        <w:t>://</w:t>
      </w:r>
      <w:r w:rsidRPr="00F90519">
        <w:rPr>
          <w:rFonts w:ascii="Times New Roman" w:hAnsi="Times New Roman" w:cs="Times New Roman"/>
          <w:szCs w:val="24"/>
          <w:lang w:val="en-US"/>
        </w:rPr>
        <w:t>www</w:t>
      </w:r>
      <w:r w:rsidRPr="00F90519">
        <w:rPr>
          <w:rFonts w:ascii="Times New Roman" w:hAnsi="Times New Roman" w:cs="Times New Roman"/>
          <w:szCs w:val="24"/>
        </w:rPr>
        <w:t>.</w:t>
      </w:r>
      <w:r w:rsidRPr="00F90519">
        <w:rPr>
          <w:rFonts w:ascii="Times New Roman" w:hAnsi="Times New Roman" w:cs="Times New Roman"/>
          <w:szCs w:val="24"/>
          <w:lang w:val="en-US"/>
        </w:rPr>
        <w:t>irena</w:t>
      </w:r>
      <w:r w:rsidRPr="00F90519">
        <w:rPr>
          <w:rFonts w:ascii="Times New Roman" w:hAnsi="Times New Roman" w:cs="Times New Roman"/>
          <w:szCs w:val="24"/>
        </w:rPr>
        <w:t>.</w:t>
      </w:r>
      <w:r w:rsidRPr="00F90519">
        <w:rPr>
          <w:rFonts w:ascii="Times New Roman" w:hAnsi="Times New Roman" w:cs="Times New Roman"/>
          <w:szCs w:val="24"/>
          <w:lang w:val="en-US"/>
        </w:rPr>
        <w:t>org</w:t>
      </w:r>
      <w:r w:rsidRPr="00F90519">
        <w:rPr>
          <w:rFonts w:ascii="Times New Roman" w:hAnsi="Times New Roman" w:cs="Times New Roman"/>
          <w:szCs w:val="24"/>
        </w:rPr>
        <w:t>/-/</w:t>
      </w:r>
      <w:r w:rsidRPr="00F90519">
        <w:rPr>
          <w:rFonts w:ascii="Times New Roman" w:hAnsi="Times New Roman" w:cs="Times New Roman"/>
          <w:szCs w:val="24"/>
          <w:lang w:val="en-US"/>
        </w:rPr>
        <w:t>media</w:t>
      </w:r>
      <w:r w:rsidRPr="00F90519">
        <w:rPr>
          <w:rFonts w:ascii="Times New Roman" w:hAnsi="Times New Roman" w:cs="Times New Roman"/>
          <w:szCs w:val="24"/>
        </w:rPr>
        <w:t>/</w:t>
      </w:r>
      <w:r w:rsidRPr="00F90519">
        <w:rPr>
          <w:rFonts w:ascii="Times New Roman" w:hAnsi="Times New Roman" w:cs="Times New Roman"/>
          <w:szCs w:val="24"/>
          <w:lang w:val="en-US"/>
        </w:rPr>
        <w:t>Files</w:t>
      </w:r>
      <w:r w:rsidRPr="00F90519">
        <w:rPr>
          <w:rFonts w:ascii="Times New Roman" w:hAnsi="Times New Roman" w:cs="Times New Roman"/>
          <w:szCs w:val="24"/>
        </w:rPr>
        <w:t>/</w:t>
      </w:r>
      <w:r w:rsidRPr="00F90519">
        <w:rPr>
          <w:rFonts w:ascii="Times New Roman" w:hAnsi="Times New Roman" w:cs="Times New Roman"/>
          <w:szCs w:val="24"/>
          <w:lang w:val="en-US"/>
        </w:rPr>
        <w:t>IRENA</w:t>
      </w:r>
      <w:r w:rsidRPr="00F90519">
        <w:rPr>
          <w:rFonts w:ascii="Times New Roman" w:hAnsi="Times New Roman" w:cs="Times New Roman"/>
          <w:szCs w:val="24"/>
        </w:rPr>
        <w:t>/</w:t>
      </w:r>
      <w:r w:rsidRPr="00F90519">
        <w:rPr>
          <w:rFonts w:ascii="Times New Roman" w:hAnsi="Times New Roman" w:cs="Times New Roman"/>
          <w:szCs w:val="24"/>
          <w:lang w:val="en-US"/>
        </w:rPr>
        <w:t>Agency</w:t>
      </w:r>
      <w:r w:rsidRPr="00F90519">
        <w:rPr>
          <w:rFonts w:ascii="Times New Roman" w:hAnsi="Times New Roman" w:cs="Times New Roman"/>
          <w:szCs w:val="24"/>
        </w:rPr>
        <w:t>/</w:t>
      </w:r>
      <w:r w:rsidRPr="00F90519">
        <w:rPr>
          <w:rFonts w:ascii="Times New Roman" w:hAnsi="Times New Roman" w:cs="Times New Roman"/>
          <w:szCs w:val="24"/>
          <w:lang w:val="en-US"/>
        </w:rPr>
        <w:t>Publication</w:t>
      </w:r>
      <w:r w:rsidRPr="00F90519">
        <w:rPr>
          <w:rFonts w:ascii="Times New Roman" w:hAnsi="Times New Roman" w:cs="Times New Roman"/>
          <w:szCs w:val="24"/>
        </w:rPr>
        <w:t>/2018/</w:t>
      </w:r>
      <w:r w:rsidRPr="00F90519">
        <w:rPr>
          <w:rFonts w:ascii="Times New Roman" w:hAnsi="Times New Roman" w:cs="Times New Roman"/>
          <w:szCs w:val="24"/>
          <w:lang w:val="en-US"/>
        </w:rPr>
        <w:t>Jan</w:t>
      </w:r>
      <w:r w:rsidRPr="00F90519">
        <w:rPr>
          <w:rFonts w:ascii="Times New Roman" w:hAnsi="Times New Roman" w:cs="Times New Roman"/>
          <w:szCs w:val="24"/>
        </w:rPr>
        <w:t>/</w:t>
      </w:r>
      <w:r w:rsidRPr="00F90519">
        <w:rPr>
          <w:rFonts w:ascii="Times New Roman" w:hAnsi="Times New Roman" w:cs="Times New Roman"/>
          <w:szCs w:val="24"/>
          <w:lang w:val="en-US"/>
        </w:rPr>
        <w:t>IRENA</w:t>
      </w:r>
      <w:r w:rsidRPr="00F90519">
        <w:rPr>
          <w:rFonts w:ascii="Times New Roman" w:hAnsi="Times New Roman" w:cs="Times New Roman"/>
          <w:szCs w:val="24"/>
        </w:rPr>
        <w:t>_</w:t>
      </w:r>
      <w:r w:rsidRPr="00F90519">
        <w:rPr>
          <w:rFonts w:ascii="Times New Roman" w:hAnsi="Times New Roman" w:cs="Times New Roman"/>
          <w:szCs w:val="24"/>
          <w:lang w:val="en-US"/>
        </w:rPr>
        <w:t>REmap</w:t>
      </w:r>
      <w:r w:rsidRPr="00F90519">
        <w:rPr>
          <w:rFonts w:ascii="Times New Roman" w:hAnsi="Times New Roman" w:cs="Times New Roman"/>
          <w:szCs w:val="24"/>
        </w:rPr>
        <w:t>_</w:t>
      </w:r>
      <w:r w:rsidRPr="00F90519">
        <w:rPr>
          <w:rFonts w:ascii="Times New Roman" w:hAnsi="Times New Roman" w:cs="Times New Roman"/>
          <w:szCs w:val="24"/>
          <w:lang w:val="en-US"/>
        </w:rPr>
        <w:t>EU</w:t>
      </w:r>
      <w:r w:rsidRPr="00F90519">
        <w:rPr>
          <w:rFonts w:ascii="Times New Roman" w:hAnsi="Times New Roman" w:cs="Times New Roman"/>
          <w:szCs w:val="24"/>
        </w:rPr>
        <w:t>_</w:t>
      </w:r>
      <w:r w:rsidRPr="00F90519">
        <w:rPr>
          <w:rFonts w:ascii="Times New Roman" w:hAnsi="Times New Roman" w:cs="Times New Roman"/>
          <w:szCs w:val="24"/>
          <w:lang w:val="en-US"/>
        </w:rPr>
        <w:t>preview</w:t>
      </w:r>
      <w:r w:rsidRPr="00F90519">
        <w:rPr>
          <w:rFonts w:ascii="Times New Roman" w:hAnsi="Times New Roman" w:cs="Times New Roman"/>
          <w:szCs w:val="24"/>
        </w:rPr>
        <w:t>_2018.</w:t>
      </w:r>
      <w:r w:rsidRPr="00F90519">
        <w:rPr>
          <w:rFonts w:ascii="Times New Roman" w:hAnsi="Times New Roman" w:cs="Times New Roman"/>
          <w:szCs w:val="24"/>
          <w:lang w:val="en-US"/>
        </w:rPr>
        <w:t>pdf</w:t>
      </w:r>
      <w:r w:rsidRPr="00F90519">
        <w:rPr>
          <w:rFonts w:ascii="Times New Roman" w:hAnsi="Times New Roman" w:cs="Times New Roman"/>
          <w:szCs w:val="24"/>
        </w:rPr>
        <w:t>– Заглавие с экрана. – (Дата обращения: 22.03.2017).</w:t>
      </w:r>
    </w:p>
  </w:footnote>
  <w:footnote w:id="10">
    <w:p w:rsidR="00F90519" w:rsidRDefault="00F90519">
      <w:pPr>
        <w:pStyle w:val="ad"/>
      </w:pPr>
      <w:r>
        <w:rPr>
          <w:rStyle w:val="af"/>
        </w:rPr>
        <w:footnoteRef/>
      </w:r>
      <w:r w:rsidRPr="00F90519">
        <w:rPr>
          <w:rFonts w:ascii="Times New Roman" w:hAnsi="Times New Roman" w:cs="Times New Roman"/>
          <w:szCs w:val="24"/>
        </w:rPr>
        <w:t>Электромобили: Китай оставил Германию далеко позади[Электронный ресурс]. – Режим доступа: https://www.</w:t>
      </w:r>
      <w:r w:rsidRPr="00F90519">
        <w:rPr>
          <w:rFonts w:ascii="Times New Roman" w:hAnsi="Times New Roman" w:cs="Times New Roman"/>
          <w:szCs w:val="24"/>
          <w:lang w:val="en-US"/>
        </w:rPr>
        <w:t>dw</w:t>
      </w:r>
      <w:r w:rsidRPr="00F90519">
        <w:rPr>
          <w:rFonts w:ascii="Times New Roman" w:hAnsi="Times New Roman" w:cs="Times New Roman"/>
          <w:szCs w:val="24"/>
        </w:rPr>
        <w:t>.com/</w:t>
      </w:r>
      <w:r w:rsidRPr="00F90519">
        <w:rPr>
          <w:rFonts w:ascii="Times New Roman" w:hAnsi="Times New Roman" w:cs="Times New Roman"/>
          <w:szCs w:val="24"/>
          <w:lang w:val="en-US"/>
        </w:rPr>
        <w:t>ru</w:t>
      </w:r>
      <w:r w:rsidRPr="00F90519">
        <w:rPr>
          <w:rFonts w:ascii="Times New Roman" w:hAnsi="Times New Roman" w:cs="Times New Roman"/>
          <w:szCs w:val="24"/>
        </w:rPr>
        <w:t>/электромобили-китай-оставил-германию-далеко-позади/a-19017921 – Заглавие с экрана. – (Дата обращения: 22.03.2017).</w:t>
      </w:r>
    </w:p>
  </w:footnote>
  <w:footnote w:id="11">
    <w:p w:rsidR="00F90519" w:rsidRDefault="00F90519">
      <w:pPr>
        <w:pStyle w:val="ad"/>
      </w:pPr>
      <w:r>
        <w:rPr>
          <w:rStyle w:val="af"/>
        </w:rPr>
        <w:footnoteRef/>
      </w:r>
      <w:r w:rsidRPr="00F90519">
        <w:rPr>
          <w:rFonts w:ascii="Times New Roman" w:hAnsi="Times New Roman" w:cs="Times New Roman"/>
          <w:szCs w:val="24"/>
          <w:lang w:val="en-US"/>
        </w:rPr>
        <w:t>GlobalStorageMarkettoDoubleSixTimesby</w:t>
      </w:r>
      <w:r w:rsidRPr="00F90519">
        <w:rPr>
          <w:rFonts w:ascii="Times New Roman" w:hAnsi="Times New Roman" w:cs="Times New Roman"/>
          <w:szCs w:val="24"/>
        </w:rPr>
        <w:t xml:space="preserve"> 2030[Электронный ресурс]. – Режим доступа https://about.bnef.com/blog/global-storage-market-double-six-times-2030/ – Заглавие с экрана. – (Дата обращения: 22.03.2017).</w:t>
      </w:r>
    </w:p>
  </w:footnote>
  <w:footnote w:id="12">
    <w:p w:rsidR="00F90519" w:rsidRPr="00F90519" w:rsidRDefault="00F90519">
      <w:pPr>
        <w:pStyle w:val="ad"/>
        <w:rPr>
          <w:lang w:val="en-US"/>
        </w:rPr>
      </w:pPr>
      <w:r>
        <w:rPr>
          <w:rStyle w:val="af"/>
        </w:rPr>
        <w:footnoteRef/>
      </w:r>
      <w:r w:rsidRPr="00F90519">
        <w:rPr>
          <w:rFonts w:ascii="Times New Roman" w:hAnsi="Times New Roman" w:cs="Times New Roman"/>
          <w:szCs w:val="24"/>
          <w:lang w:val="en-US"/>
        </w:rPr>
        <w:t>Internet of Things and Intermachine Communication. Situation overview in Russia and Worldwide [</w:t>
      </w:r>
      <w:r w:rsidRPr="00F90519">
        <w:rPr>
          <w:rFonts w:ascii="Times New Roman" w:hAnsi="Times New Roman" w:cs="Times New Roman"/>
          <w:szCs w:val="24"/>
        </w:rPr>
        <w:t>Электронныйресурс</w:t>
      </w:r>
      <w:r w:rsidRPr="00F90519">
        <w:rPr>
          <w:rFonts w:ascii="Times New Roman" w:hAnsi="Times New Roman" w:cs="Times New Roman"/>
          <w:szCs w:val="24"/>
          <w:lang w:val="en-US"/>
        </w:rPr>
        <w:t xml:space="preserve">]. – </w:t>
      </w:r>
      <w:r w:rsidRPr="00F90519">
        <w:rPr>
          <w:rFonts w:ascii="Times New Roman" w:hAnsi="Times New Roman" w:cs="Times New Roman"/>
          <w:szCs w:val="24"/>
        </w:rPr>
        <w:t>Режимдоступа</w:t>
      </w:r>
      <w:r w:rsidRPr="00F90519">
        <w:rPr>
          <w:rFonts w:ascii="Times New Roman" w:hAnsi="Times New Roman" w:cs="Times New Roman"/>
          <w:szCs w:val="24"/>
          <w:lang w:val="en-US"/>
        </w:rPr>
        <w:t xml:space="preserve"> http://json.tv/en/ict_telecom_analytics_view/internet-of-things-and-intermachine-communication-situation-overview-in-russia-and-worldwide-2014091002201841 – </w:t>
      </w:r>
      <w:r w:rsidRPr="00F90519">
        <w:rPr>
          <w:rFonts w:ascii="Times New Roman" w:hAnsi="Times New Roman" w:cs="Times New Roman"/>
          <w:szCs w:val="24"/>
        </w:rPr>
        <w:t>Заглавиесэкрана</w:t>
      </w:r>
      <w:r w:rsidRPr="00F90519">
        <w:rPr>
          <w:rFonts w:ascii="Times New Roman" w:hAnsi="Times New Roman" w:cs="Times New Roman"/>
          <w:szCs w:val="24"/>
          <w:lang w:val="en-US"/>
        </w:rPr>
        <w:t>. – (</w:t>
      </w:r>
      <w:r w:rsidRPr="00F90519">
        <w:rPr>
          <w:rFonts w:ascii="Times New Roman" w:hAnsi="Times New Roman" w:cs="Times New Roman"/>
          <w:szCs w:val="24"/>
        </w:rPr>
        <w:t>Датаобращения</w:t>
      </w:r>
      <w:r w:rsidRPr="00F90519">
        <w:rPr>
          <w:rFonts w:ascii="Times New Roman" w:hAnsi="Times New Roman" w:cs="Times New Roman"/>
          <w:szCs w:val="24"/>
          <w:lang w:val="en-US"/>
        </w:rPr>
        <w:t>: 22.03.2017).</w:t>
      </w:r>
    </w:p>
  </w:footnote>
  <w:footnote w:id="13">
    <w:p w:rsidR="00F90519" w:rsidRDefault="00F90519">
      <w:pPr>
        <w:pStyle w:val="ad"/>
      </w:pPr>
      <w:r>
        <w:rPr>
          <w:rStyle w:val="af"/>
        </w:rPr>
        <w:footnoteRef/>
      </w:r>
      <w:r w:rsidRPr="00F90519">
        <w:rPr>
          <w:rFonts w:ascii="Times New Roman" w:hAnsi="Times New Roman" w:cs="Times New Roman"/>
          <w:szCs w:val="24"/>
          <w:lang w:val="en-US"/>
        </w:rPr>
        <w:t>InternetofEnergy</w:t>
      </w:r>
      <w:r w:rsidRPr="00F90519">
        <w:rPr>
          <w:rFonts w:ascii="Times New Roman" w:hAnsi="Times New Roman" w:cs="Times New Roman"/>
          <w:szCs w:val="24"/>
        </w:rPr>
        <w:t xml:space="preserve">: как распределенная энергетика повлияет на безопасность, цены на электричество и экологию [Электронный ресурс]. – Режим доступа </w:t>
      </w:r>
      <w:r w:rsidRPr="00F90519">
        <w:rPr>
          <w:rFonts w:ascii="Times New Roman" w:hAnsi="Times New Roman" w:cs="Times New Roman"/>
          <w:szCs w:val="24"/>
          <w:lang w:val="en-US"/>
        </w:rPr>
        <w:t>http</w:t>
      </w:r>
      <w:r w:rsidRPr="00F90519">
        <w:rPr>
          <w:rFonts w:ascii="Times New Roman" w:hAnsi="Times New Roman" w:cs="Times New Roman"/>
          <w:szCs w:val="24"/>
        </w:rPr>
        <w:t>://</w:t>
      </w:r>
      <w:r w:rsidRPr="00F90519">
        <w:rPr>
          <w:rFonts w:ascii="Times New Roman" w:hAnsi="Times New Roman" w:cs="Times New Roman"/>
          <w:szCs w:val="24"/>
          <w:lang w:val="en-US"/>
        </w:rPr>
        <w:t>www</w:t>
      </w:r>
      <w:r w:rsidRPr="00F90519">
        <w:rPr>
          <w:rFonts w:ascii="Times New Roman" w:hAnsi="Times New Roman" w:cs="Times New Roman"/>
          <w:szCs w:val="24"/>
        </w:rPr>
        <w:t>.</w:t>
      </w:r>
      <w:r w:rsidRPr="00F90519">
        <w:rPr>
          <w:rFonts w:ascii="Times New Roman" w:hAnsi="Times New Roman" w:cs="Times New Roman"/>
          <w:szCs w:val="24"/>
          <w:lang w:val="en-US"/>
        </w:rPr>
        <w:t>forbes</w:t>
      </w:r>
      <w:r w:rsidRPr="00F90519">
        <w:rPr>
          <w:rFonts w:ascii="Times New Roman" w:hAnsi="Times New Roman" w:cs="Times New Roman"/>
          <w:szCs w:val="24"/>
        </w:rPr>
        <w:t>.</w:t>
      </w:r>
      <w:r w:rsidRPr="00F90519">
        <w:rPr>
          <w:rFonts w:ascii="Times New Roman" w:hAnsi="Times New Roman" w:cs="Times New Roman"/>
          <w:szCs w:val="24"/>
          <w:lang w:val="en-US"/>
        </w:rPr>
        <w:t>ru</w:t>
      </w:r>
      <w:r w:rsidRPr="00F90519">
        <w:rPr>
          <w:rFonts w:ascii="Times New Roman" w:hAnsi="Times New Roman" w:cs="Times New Roman"/>
          <w:szCs w:val="24"/>
        </w:rPr>
        <w:t>/</w:t>
      </w:r>
      <w:r w:rsidRPr="00F90519">
        <w:rPr>
          <w:rFonts w:ascii="Times New Roman" w:hAnsi="Times New Roman" w:cs="Times New Roman"/>
          <w:szCs w:val="24"/>
          <w:lang w:val="en-US"/>
        </w:rPr>
        <w:t>biznes</w:t>
      </w:r>
      <w:r w:rsidRPr="00F90519">
        <w:rPr>
          <w:rFonts w:ascii="Times New Roman" w:hAnsi="Times New Roman" w:cs="Times New Roman"/>
          <w:szCs w:val="24"/>
        </w:rPr>
        <w:t>/351485-</w:t>
      </w:r>
      <w:r w:rsidRPr="00F90519">
        <w:rPr>
          <w:rFonts w:ascii="Times New Roman" w:hAnsi="Times New Roman" w:cs="Times New Roman"/>
          <w:szCs w:val="24"/>
          <w:lang w:val="en-US"/>
        </w:rPr>
        <w:t>internet</w:t>
      </w:r>
      <w:r w:rsidRPr="00F90519">
        <w:rPr>
          <w:rFonts w:ascii="Times New Roman" w:hAnsi="Times New Roman" w:cs="Times New Roman"/>
          <w:szCs w:val="24"/>
        </w:rPr>
        <w:t>-</w:t>
      </w:r>
      <w:r w:rsidRPr="00F90519">
        <w:rPr>
          <w:rFonts w:ascii="Times New Roman" w:hAnsi="Times New Roman" w:cs="Times New Roman"/>
          <w:szCs w:val="24"/>
          <w:lang w:val="en-US"/>
        </w:rPr>
        <w:t>energy</w:t>
      </w:r>
      <w:r w:rsidRPr="00F90519">
        <w:rPr>
          <w:rFonts w:ascii="Times New Roman" w:hAnsi="Times New Roman" w:cs="Times New Roman"/>
          <w:szCs w:val="24"/>
        </w:rPr>
        <w:t>-</w:t>
      </w:r>
      <w:r w:rsidRPr="00F90519">
        <w:rPr>
          <w:rFonts w:ascii="Times New Roman" w:hAnsi="Times New Roman" w:cs="Times New Roman"/>
          <w:szCs w:val="24"/>
          <w:lang w:val="en-US"/>
        </w:rPr>
        <w:t>kak</w:t>
      </w:r>
      <w:r w:rsidRPr="00F90519">
        <w:rPr>
          <w:rFonts w:ascii="Times New Roman" w:hAnsi="Times New Roman" w:cs="Times New Roman"/>
          <w:szCs w:val="24"/>
        </w:rPr>
        <w:t>-</w:t>
      </w:r>
      <w:r w:rsidRPr="00F90519">
        <w:rPr>
          <w:rFonts w:ascii="Times New Roman" w:hAnsi="Times New Roman" w:cs="Times New Roman"/>
          <w:szCs w:val="24"/>
          <w:lang w:val="en-US"/>
        </w:rPr>
        <w:t>raspredelennaya</w:t>
      </w:r>
      <w:r w:rsidRPr="00F90519">
        <w:rPr>
          <w:rFonts w:ascii="Times New Roman" w:hAnsi="Times New Roman" w:cs="Times New Roman"/>
          <w:szCs w:val="24"/>
        </w:rPr>
        <w:t>-</w:t>
      </w:r>
      <w:r w:rsidRPr="00F90519">
        <w:rPr>
          <w:rFonts w:ascii="Times New Roman" w:hAnsi="Times New Roman" w:cs="Times New Roman"/>
          <w:szCs w:val="24"/>
          <w:lang w:val="en-US"/>
        </w:rPr>
        <w:t>energetika</w:t>
      </w:r>
      <w:r w:rsidRPr="00F90519">
        <w:rPr>
          <w:rFonts w:ascii="Times New Roman" w:hAnsi="Times New Roman" w:cs="Times New Roman"/>
          <w:szCs w:val="24"/>
        </w:rPr>
        <w:t>-</w:t>
      </w:r>
      <w:r w:rsidRPr="00F90519">
        <w:rPr>
          <w:rFonts w:ascii="Times New Roman" w:hAnsi="Times New Roman" w:cs="Times New Roman"/>
          <w:szCs w:val="24"/>
          <w:lang w:val="en-US"/>
        </w:rPr>
        <w:t>povliyaet</w:t>
      </w:r>
      <w:r w:rsidRPr="00F90519">
        <w:rPr>
          <w:rFonts w:ascii="Times New Roman" w:hAnsi="Times New Roman" w:cs="Times New Roman"/>
          <w:szCs w:val="24"/>
        </w:rPr>
        <w:t>-</w:t>
      </w:r>
      <w:r w:rsidRPr="00F90519">
        <w:rPr>
          <w:rFonts w:ascii="Times New Roman" w:hAnsi="Times New Roman" w:cs="Times New Roman"/>
          <w:szCs w:val="24"/>
          <w:lang w:val="en-US"/>
        </w:rPr>
        <w:t>na</w:t>
      </w:r>
      <w:r w:rsidRPr="00F90519">
        <w:rPr>
          <w:rFonts w:ascii="Times New Roman" w:hAnsi="Times New Roman" w:cs="Times New Roman"/>
          <w:szCs w:val="24"/>
        </w:rPr>
        <w:t>-</w:t>
      </w:r>
      <w:r w:rsidRPr="00F90519">
        <w:rPr>
          <w:rFonts w:ascii="Times New Roman" w:hAnsi="Times New Roman" w:cs="Times New Roman"/>
          <w:szCs w:val="24"/>
          <w:lang w:val="en-US"/>
        </w:rPr>
        <w:t>bezopasnost</w:t>
      </w:r>
      <w:r w:rsidRPr="00F90519">
        <w:rPr>
          <w:rFonts w:ascii="Times New Roman" w:hAnsi="Times New Roman" w:cs="Times New Roman"/>
          <w:szCs w:val="24"/>
        </w:rPr>
        <w:t>-</w:t>
      </w:r>
      <w:r w:rsidRPr="00F90519">
        <w:rPr>
          <w:rFonts w:ascii="Times New Roman" w:hAnsi="Times New Roman" w:cs="Times New Roman"/>
          <w:szCs w:val="24"/>
          <w:lang w:val="en-US"/>
        </w:rPr>
        <w:t>ceny</w:t>
      </w:r>
      <w:r w:rsidRPr="00F90519">
        <w:rPr>
          <w:rFonts w:ascii="Times New Roman" w:hAnsi="Times New Roman" w:cs="Times New Roman"/>
          <w:szCs w:val="24"/>
        </w:rPr>
        <w:t>-</w:t>
      </w:r>
      <w:r w:rsidRPr="00F90519">
        <w:rPr>
          <w:rFonts w:ascii="Times New Roman" w:hAnsi="Times New Roman" w:cs="Times New Roman"/>
          <w:szCs w:val="24"/>
          <w:lang w:val="en-US"/>
        </w:rPr>
        <w:t>na</w:t>
      </w:r>
      <w:r w:rsidRPr="00F90519">
        <w:rPr>
          <w:rFonts w:ascii="Times New Roman" w:hAnsi="Times New Roman" w:cs="Times New Roman"/>
          <w:szCs w:val="24"/>
        </w:rPr>
        <w:t xml:space="preserve"> – Заглавие с экрана. – (Дата обращения: 22.03.2017).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1327"/>
    <w:multiLevelType w:val="hybridMultilevel"/>
    <w:tmpl w:val="F3000A1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3992B8F"/>
    <w:multiLevelType w:val="hybridMultilevel"/>
    <w:tmpl w:val="78CA7B8C"/>
    <w:lvl w:ilvl="0" w:tplc="8E5CD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913D8"/>
    <w:multiLevelType w:val="hybridMultilevel"/>
    <w:tmpl w:val="F6FE2CB8"/>
    <w:lvl w:ilvl="0" w:tplc="8E5CD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A46B91"/>
    <w:multiLevelType w:val="hybridMultilevel"/>
    <w:tmpl w:val="B87E476E"/>
    <w:lvl w:ilvl="0" w:tplc="8E5CD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233DA"/>
    <w:multiLevelType w:val="hybridMultilevel"/>
    <w:tmpl w:val="E0ACB45A"/>
    <w:lvl w:ilvl="0" w:tplc="8E5CD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703A28"/>
    <w:multiLevelType w:val="hybridMultilevel"/>
    <w:tmpl w:val="AD8A2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7123BF"/>
    <w:multiLevelType w:val="hybridMultilevel"/>
    <w:tmpl w:val="77B8739C"/>
    <w:lvl w:ilvl="0" w:tplc="8E5CD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8E2682"/>
    <w:multiLevelType w:val="hybridMultilevel"/>
    <w:tmpl w:val="DF8A6A08"/>
    <w:lvl w:ilvl="0" w:tplc="8E5CD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990871"/>
    <w:multiLevelType w:val="hybridMultilevel"/>
    <w:tmpl w:val="37B45B60"/>
    <w:lvl w:ilvl="0" w:tplc="8E5CDFA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F6C768F"/>
    <w:multiLevelType w:val="hybridMultilevel"/>
    <w:tmpl w:val="1E84F240"/>
    <w:lvl w:ilvl="0" w:tplc="8E5CDF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DE71225"/>
    <w:multiLevelType w:val="hybridMultilevel"/>
    <w:tmpl w:val="975C1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E430AB"/>
    <w:multiLevelType w:val="hybridMultilevel"/>
    <w:tmpl w:val="7BCE0A2E"/>
    <w:lvl w:ilvl="0" w:tplc="8E5CDF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55A59C3"/>
    <w:multiLevelType w:val="hybridMultilevel"/>
    <w:tmpl w:val="8B468734"/>
    <w:lvl w:ilvl="0" w:tplc="8E5CD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2"/>
  </w:num>
  <w:num w:numId="5">
    <w:abstractNumId w:val="9"/>
  </w:num>
  <w:num w:numId="6">
    <w:abstractNumId w:val="4"/>
  </w:num>
  <w:num w:numId="7">
    <w:abstractNumId w:val="10"/>
  </w:num>
  <w:num w:numId="8">
    <w:abstractNumId w:val="12"/>
  </w:num>
  <w:num w:numId="9">
    <w:abstractNumId w:val="5"/>
  </w:num>
  <w:num w:numId="10">
    <w:abstractNumId w:val="3"/>
  </w:num>
  <w:num w:numId="11">
    <w:abstractNumId w:val="0"/>
  </w:num>
  <w:num w:numId="12">
    <w:abstractNumId w:val="6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1BC1"/>
    <w:rsid w:val="00020C39"/>
    <w:rsid w:val="00041857"/>
    <w:rsid w:val="000444D9"/>
    <w:rsid w:val="00120C7F"/>
    <w:rsid w:val="00136600"/>
    <w:rsid w:val="00137DB6"/>
    <w:rsid w:val="00151EFC"/>
    <w:rsid w:val="00170801"/>
    <w:rsid w:val="0018342E"/>
    <w:rsid w:val="001B2247"/>
    <w:rsid w:val="001D05E0"/>
    <w:rsid w:val="00201BC1"/>
    <w:rsid w:val="00201C48"/>
    <w:rsid w:val="002514FE"/>
    <w:rsid w:val="002B0847"/>
    <w:rsid w:val="002D6800"/>
    <w:rsid w:val="002E2DFF"/>
    <w:rsid w:val="00300314"/>
    <w:rsid w:val="00311523"/>
    <w:rsid w:val="003533DE"/>
    <w:rsid w:val="003656B6"/>
    <w:rsid w:val="003A4B9F"/>
    <w:rsid w:val="003B64E2"/>
    <w:rsid w:val="003F310F"/>
    <w:rsid w:val="00420363"/>
    <w:rsid w:val="00452ED1"/>
    <w:rsid w:val="004738D9"/>
    <w:rsid w:val="00477A51"/>
    <w:rsid w:val="00483439"/>
    <w:rsid w:val="004C43C2"/>
    <w:rsid w:val="004C49D2"/>
    <w:rsid w:val="004D21B5"/>
    <w:rsid w:val="004D3933"/>
    <w:rsid w:val="004F2A1F"/>
    <w:rsid w:val="004F48D5"/>
    <w:rsid w:val="004F66E8"/>
    <w:rsid w:val="0052560B"/>
    <w:rsid w:val="005379CC"/>
    <w:rsid w:val="00557CEE"/>
    <w:rsid w:val="00573753"/>
    <w:rsid w:val="00584459"/>
    <w:rsid w:val="00594971"/>
    <w:rsid w:val="005A6DD3"/>
    <w:rsid w:val="005E007F"/>
    <w:rsid w:val="00610B7D"/>
    <w:rsid w:val="00616DDB"/>
    <w:rsid w:val="006429CA"/>
    <w:rsid w:val="0066696B"/>
    <w:rsid w:val="00667B7D"/>
    <w:rsid w:val="006B0C3B"/>
    <w:rsid w:val="006D24A8"/>
    <w:rsid w:val="006E4963"/>
    <w:rsid w:val="00711203"/>
    <w:rsid w:val="00720546"/>
    <w:rsid w:val="007D351D"/>
    <w:rsid w:val="00834A88"/>
    <w:rsid w:val="00863D79"/>
    <w:rsid w:val="008A7FCC"/>
    <w:rsid w:val="008E4E59"/>
    <w:rsid w:val="00931DD0"/>
    <w:rsid w:val="00985FE0"/>
    <w:rsid w:val="00996377"/>
    <w:rsid w:val="009A6EA3"/>
    <w:rsid w:val="009B1BD0"/>
    <w:rsid w:val="00A33771"/>
    <w:rsid w:val="00AA6CA5"/>
    <w:rsid w:val="00AD732F"/>
    <w:rsid w:val="00AF4145"/>
    <w:rsid w:val="00AF47F3"/>
    <w:rsid w:val="00B12565"/>
    <w:rsid w:val="00B32F98"/>
    <w:rsid w:val="00B54600"/>
    <w:rsid w:val="00B72EE5"/>
    <w:rsid w:val="00B9388B"/>
    <w:rsid w:val="00BB1A63"/>
    <w:rsid w:val="00BB4647"/>
    <w:rsid w:val="00BF0DEC"/>
    <w:rsid w:val="00C45C7E"/>
    <w:rsid w:val="00C61138"/>
    <w:rsid w:val="00C705BB"/>
    <w:rsid w:val="00C730E7"/>
    <w:rsid w:val="00C84D52"/>
    <w:rsid w:val="00CA262D"/>
    <w:rsid w:val="00CE30A9"/>
    <w:rsid w:val="00CF22DA"/>
    <w:rsid w:val="00CF3C8F"/>
    <w:rsid w:val="00D06B89"/>
    <w:rsid w:val="00D52E8A"/>
    <w:rsid w:val="00D840F5"/>
    <w:rsid w:val="00D84A8A"/>
    <w:rsid w:val="00DA554E"/>
    <w:rsid w:val="00DB4813"/>
    <w:rsid w:val="00DC5FEA"/>
    <w:rsid w:val="00DD45FF"/>
    <w:rsid w:val="00E0405D"/>
    <w:rsid w:val="00E2791C"/>
    <w:rsid w:val="00E86462"/>
    <w:rsid w:val="00E96702"/>
    <w:rsid w:val="00ED6DDB"/>
    <w:rsid w:val="00EF4CB1"/>
    <w:rsid w:val="00F45146"/>
    <w:rsid w:val="00F75CDC"/>
    <w:rsid w:val="00F77BF7"/>
    <w:rsid w:val="00F90519"/>
    <w:rsid w:val="00F96D20"/>
    <w:rsid w:val="00FB3A30"/>
    <w:rsid w:val="00FD1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D45F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D45F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D45F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D45F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D45F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D4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D45FF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020C39"/>
    <w:pPr>
      <w:ind w:left="720"/>
      <w:contextualSpacing/>
    </w:pPr>
  </w:style>
  <w:style w:type="paragraph" w:customStyle="1" w:styleId="2105">
    <w:name w:val="Текст абзаца по ГОСТ 2.105"/>
    <w:basedOn w:val="a"/>
    <w:qFormat/>
    <w:rsid w:val="00E2791C"/>
    <w:pPr>
      <w:spacing w:before="60" w:after="6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ibliography"/>
    <w:basedOn w:val="a"/>
    <w:next w:val="a"/>
    <w:uiPriority w:val="37"/>
    <w:unhideWhenUsed/>
    <w:rsid w:val="00E27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"/>
    <w:next w:val="a"/>
    <w:uiPriority w:val="35"/>
    <w:unhideWhenUsed/>
    <w:qFormat/>
    <w:rsid w:val="00120C7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d">
    <w:name w:val="footnote text"/>
    <w:basedOn w:val="a"/>
    <w:link w:val="ae"/>
    <w:uiPriority w:val="99"/>
    <w:semiHidden/>
    <w:unhideWhenUsed/>
    <w:rsid w:val="00F90519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90519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F90519"/>
    <w:rPr>
      <w:vertAlign w:val="superscript"/>
    </w:rPr>
  </w:style>
  <w:style w:type="paragraph" w:styleId="af0">
    <w:name w:val="header"/>
    <w:basedOn w:val="a"/>
    <w:link w:val="af1"/>
    <w:uiPriority w:val="99"/>
    <w:semiHidden/>
    <w:unhideWhenUsed/>
    <w:rsid w:val="00996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996377"/>
  </w:style>
  <w:style w:type="paragraph" w:styleId="af2">
    <w:name w:val="footer"/>
    <w:basedOn w:val="a"/>
    <w:link w:val="af3"/>
    <w:uiPriority w:val="99"/>
    <w:unhideWhenUsed/>
    <w:rsid w:val="00996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963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5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ustomXml" Target="../customXml/item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wwwno_000\Desktop\&#1087;&#1086;&#1090;&#1077;&#1085;&#1094;&#1080;&#1072;&#1083;\&#1050;&#1085;&#1080;&#1075;&#1072;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2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scatterChart>
        <c:scatterStyle val="smoothMarker"/>
        <c:ser>
          <c:idx val="0"/>
          <c:order val="0"/>
          <c:tx>
            <c:v>Coal</c:v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Лист2!$A$3:$A$16</c:f>
              <c:numCache>
                <c:formatCode>0.00</c:formatCode>
                <c:ptCount val="1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  <c:pt idx="7">
                  <c:v>2024</c:v>
                </c:pt>
                <c:pt idx="8">
                  <c:v>2025</c:v>
                </c:pt>
                <c:pt idx="9">
                  <c:v>2026.2</c:v>
                </c:pt>
                <c:pt idx="10">
                  <c:v>2027.21</c:v>
                </c:pt>
                <c:pt idx="11">
                  <c:v>2028.01</c:v>
                </c:pt>
                <c:pt idx="12">
                  <c:v>2029</c:v>
                </c:pt>
                <c:pt idx="13">
                  <c:v>2030</c:v>
                </c:pt>
              </c:numCache>
            </c:numRef>
          </c:xVal>
          <c:yVal>
            <c:numRef>
              <c:f>Лист2!$B$3:$B$16</c:f>
              <c:numCache>
                <c:formatCode>0.00</c:formatCode>
                <c:ptCount val="14"/>
                <c:pt idx="0">
                  <c:v>46.902700000000003</c:v>
                </c:pt>
                <c:pt idx="1">
                  <c:v>48.672600000000003</c:v>
                </c:pt>
                <c:pt idx="2">
                  <c:v>48.230100000000014</c:v>
                </c:pt>
                <c:pt idx="3">
                  <c:v>50</c:v>
                </c:pt>
                <c:pt idx="4">
                  <c:v>51.327400000000004</c:v>
                </c:pt>
                <c:pt idx="5">
                  <c:v>52.876100000000001</c:v>
                </c:pt>
                <c:pt idx="6">
                  <c:v>53.761100000000013</c:v>
                </c:pt>
                <c:pt idx="7">
                  <c:v>54.646000000000001</c:v>
                </c:pt>
                <c:pt idx="8">
                  <c:v>54.8673</c:v>
                </c:pt>
                <c:pt idx="9">
                  <c:v>55.973500000000001</c:v>
                </c:pt>
                <c:pt idx="10">
                  <c:v>55.973500000000001</c:v>
                </c:pt>
                <c:pt idx="11">
                  <c:v>56.858400000000003</c:v>
                </c:pt>
                <c:pt idx="12">
                  <c:v>56.858400000000003</c:v>
                </c:pt>
                <c:pt idx="13">
                  <c:v>58.628300000000017</c:v>
                </c:pt>
              </c:numCache>
            </c:numRef>
          </c:yVal>
          <c:smooth val="1"/>
        </c:ser>
        <c:ser>
          <c:idx val="1"/>
          <c:order val="1"/>
          <c:tx>
            <c:v>Wind</c:v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xVal>
            <c:numRef>
              <c:f>Лист2!$A$3:$A$16</c:f>
              <c:numCache>
                <c:formatCode>0.00</c:formatCode>
                <c:ptCount val="1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  <c:pt idx="7">
                  <c:v>2024</c:v>
                </c:pt>
                <c:pt idx="8">
                  <c:v>2025</c:v>
                </c:pt>
                <c:pt idx="9">
                  <c:v>2026.2</c:v>
                </c:pt>
                <c:pt idx="10">
                  <c:v>2027.21</c:v>
                </c:pt>
                <c:pt idx="11">
                  <c:v>2028.01</c:v>
                </c:pt>
                <c:pt idx="12">
                  <c:v>2029</c:v>
                </c:pt>
                <c:pt idx="13">
                  <c:v>2030</c:v>
                </c:pt>
              </c:numCache>
            </c:numRef>
          </c:xVal>
          <c:yVal>
            <c:numRef>
              <c:f>Лист2!$C$3:$C$16</c:f>
              <c:numCache>
                <c:formatCode>0.00</c:formatCode>
                <c:ptCount val="14"/>
                <c:pt idx="0">
                  <c:v>62.389400000000002</c:v>
                </c:pt>
                <c:pt idx="1">
                  <c:v>51.991200000000006</c:v>
                </c:pt>
                <c:pt idx="2">
                  <c:v>47.123900000000013</c:v>
                </c:pt>
                <c:pt idx="3">
                  <c:v>44.911499999999997</c:v>
                </c:pt>
                <c:pt idx="4">
                  <c:v>43.584099999999999</c:v>
                </c:pt>
                <c:pt idx="5">
                  <c:v>41.371699999999997</c:v>
                </c:pt>
                <c:pt idx="6">
                  <c:v>37.168100000000017</c:v>
                </c:pt>
                <c:pt idx="7">
                  <c:v>36.504400000000004</c:v>
                </c:pt>
                <c:pt idx="8">
                  <c:v>33.628300000000017</c:v>
                </c:pt>
                <c:pt idx="9">
                  <c:v>31.8584</c:v>
                </c:pt>
                <c:pt idx="10">
                  <c:v>31.415900000000001</c:v>
                </c:pt>
                <c:pt idx="11">
                  <c:v>28.761099999999988</c:v>
                </c:pt>
                <c:pt idx="12">
                  <c:v>27.654900000000008</c:v>
                </c:pt>
                <c:pt idx="13">
                  <c:v>27.433599999999984</c:v>
                </c:pt>
              </c:numCache>
            </c:numRef>
          </c:yVal>
          <c:smooth val="1"/>
        </c:ser>
        <c:ser>
          <c:idx val="2"/>
          <c:order val="2"/>
          <c:tx>
            <c:v>Solar</c:v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xVal>
            <c:numRef>
              <c:f>Лист2!$A$3:$A$16</c:f>
              <c:numCache>
                <c:formatCode>0.00</c:formatCode>
                <c:ptCount val="1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  <c:pt idx="7">
                  <c:v>2024</c:v>
                </c:pt>
                <c:pt idx="8">
                  <c:v>2025</c:v>
                </c:pt>
                <c:pt idx="9">
                  <c:v>2026.2</c:v>
                </c:pt>
                <c:pt idx="10">
                  <c:v>2027.21</c:v>
                </c:pt>
                <c:pt idx="11">
                  <c:v>2028.01</c:v>
                </c:pt>
                <c:pt idx="12">
                  <c:v>2029</c:v>
                </c:pt>
                <c:pt idx="13">
                  <c:v>2030</c:v>
                </c:pt>
              </c:numCache>
            </c:numRef>
          </c:xVal>
          <c:yVal>
            <c:numRef>
              <c:f>Лист2!$D$3:$D$16</c:f>
              <c:numCache>
                <c:formatCode>0.00</c:formatCode>
                <c:ptCount val="14"/>
                <c:pt idx="0">
                  <c:v>69.690299999999993</c:v>
                </c:pt>
                <c:pt idx="1">
                  <c:v>61.061900000000001</c:v>
                </c:pt>
                <c:pt idx="2">
                  <c:v>54.8673</c:v>
                </c:pt>
                <c:pt idx="3">
                  <c:v>53.982300000000002</c:v>
                </c:pt>
                <c:pt idx="4">
                  <c:v>49.557499999999997</c:v>
                </c:pt>
                <c:pt idx="5">
                  <c:v>46.238900000000015</c:v>
                </c:pt>
                <c:pt idx="6">
                  <c:v>37.168100000000017</c:v>
                </c:pt>
                <c:pt idx="7">
                  <c:v>33.849600000000002</c:v>
                </c:pt>
                <c:pt idx="8">
                  <c:v>31.637200000000007</c:v>
                </c:pt>
                <c:pt idx="9">
                  <c:v>27.433599999999984</c:v>
                </c:pt>
                <c:pt idx="10">
                  <c:v>26.54869999999999</c:v>
                </c:pt>
                <c:pt idx="11">
                  <c:v>23.893799999999988</c:v>
                </c:pt>
                <c:pt idx="12">
                  <c:v>21.902699999999985</c:v>
                </c:pt>
                <c:pt idx="13">
                  <c:v>21.017700000000001</c:v>
                </c:pt>
              </c:numCache>
            </c:numRef>
          </c:yVal>
          <c:smooth val="1"/>
        </c:ser>
        <c:axId val="229498240"/>
        <c:axId val="272582528"/>
      </c:scatterChart>
      <c:valAx>
        <c:axId val="229498240"/>
        <c:scaling>
          <c:orientation val="minMax"/>
          <c:max val="2030"/>
          <c:min val="2017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2582528"/>
        <c:crosses val="autoZero"/>
        <c:crossBetween val="midCat"/>
      </c:valAx>
      <c:valAx>
        <c:axId val="27258252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9498240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stacked"/>
        <c:ser>
          <c:idx val="2"/>
          <c:order val="2"/>
          <c:tx>
            <c:v>Прогноз Remap на 2030</c:v>
          </c:tx>
          <c:spPr>
            <a:solidFill>
              <a:srgbClr val="92D050"/>
            </a:solidFill>
            <a:ln w="25400">
              <a:noFill/>
            </a:ln>
            <a:effectLst/>
          </c:spPr>
          <c:cat>
            <c:strRef>
              <c:f>Лист1!$A$3:$A$31</c:f>
              <c:strCache>
                <c:ptCount val="29"/>
                <c:pt idx="0">
                  <c:v>AT</c:v>
                </c:pt>
                <c:pt idx="1">
                  <c:v>BE</c:v>
                </c:pt>
                <c:pt idx="2">
                  <c:v>BG</c:v>
                </c:pt>
                <c:pt idx="3">
                  <c:v>HR</c:v>
                </c:pt>
                <c:pt idx="4">
                  <c:v>CY</c:v>
                </c:pt>
                <c:pt idx="5">
                  <c:v>CZ</c:v>
                </c:pt>
                <c:pt idx="6">
                  <c:v>DK</c:v>
                </c:pt>
                <c:pt idx="7">
                  <c:v>EE</c:v>
                </c:pt>
                <c:pt idx="8">
                  <c:v>FI</c:v>
                </c:pt>
                <c:pt idx="9">
                  <c:v>FR</c:v>
                </c:pt>
                <c:pt idx="10">
                  <c:v>DE</c:v>
                </c:pt>
                <c:pt idx="11">
                  <c:v>EL</c:v>
                </c:pt>
                <c:pt idx="12">
                  <c:v>HU</c:v>
                </c:pt>
                <c:pt idx="13">
                  <c:v>IE</c:v>
                </c:pt>
                <c:pt idx="14">
                  <c:v>IT</c:v>
                </c:pt>
                <c:pt idx="15">
                  <c:v>LV</c:v>
                </c:pt>
                <c:pt idx="16">
                  <c:v>LT</c:v>
                </c:pt>
                <c:pt idx="17">
                  <c:v>LU</c:v>
                </c:pt>
                <c:pt idx="18">
                  <c:v>MT</c:v>
                </c:pt>
                <c:pt idx="19">
                  <c:v>NL</c:v>
                </c:pt>
                <c:pt idx="20">
                  <c:v>PL</c:v>
                </c:pt>
                <c:pt idx="21">
                  <c:v>PT</c:v>
                </c:pt>
                <c:pt idx="22">
                  <c:v>RO</c:v>
                </c:pt>
                <c:pt idx="23">
                  <c:v>SK</c:v>
                </c:pt>
                <c:pt idx="24">
                  <c:v>SI</c:v>
                </c:pt>
                <c:pt idx="25">
                  <c:v>ES</c:v>
                </c:pt>
                <c:pt idx="26">
                  <c:v>SE</c:v>
                </c:pt>
                <c:pt idx="27">
                  <c:v>UK</c:v>
                </c:pt>
                <c:pt idx="28">
                  <c:v>EU</c:v>
                </c:pt>
              </c:strCache>
            </c:strRef>
          </c:cat>
          <c:val>
            <c:numRef>
              <c:f>Лист1!$D$3:$D$31</c:f>
              <c:numCache>
                <c:formatCode>0.00</c:formatCode>
                <c:ptCount val="29"/>
                <c:pt idx="0">
                  <c:v>48</c:v>
                </c:pt>
                <c:pt idx="1">
                  <c:v>18</c:v>
                </c:pt>
                <c:pt idx="2">
                  <c:v>36</c:v>
                </c:pt>
                <c:pt idx="3">
                  <c:v>40</c:v>
                </c:pt>
                <c:pt idx="4">
                  <c:v>27</c:v>
                </c:pt>
                <c:pt idx="5">
                  <c:v>20</c:v>
                </c:pt>
                <c:pt idx="6">
                  <c:v>57.3</c:v>
                </c:pt>
                <c:pt idx="7">
                  <c:v>41.7</c:v>
                </c:pt>
                <c:pt idx="8">
                  <c:v>50.6</c:v>
                </c:pt>
                <c:pt idx="9">
                  <c:v>34.65</c:v>
                </c:pt>
                <c:pt idx="10">
                  <c:v>35</c:v>
                </c:pt>
                <c:pt idx="11">
                  <c:v>33.5</c:v>
                </c:pt>
                <c:pt idx="12">
                  <c:v>24</c:v>
                </c:pt>
                <c:pt idx="13">
                  <c:v>24</c:v>
                </c:pt>
                <c:pt idx="14">
                  <c:v>26</c:v>
                </c:pt>
                <c:pt idx="15">
                  <c:v>50</c:v>
                </c:pt>
                <c:pt idx="16">
                  <c:v>33</c:v>
                </c:pt>
                <c:pt idx="17">
                  <c:v>12</c:v>
                </c:pt>
                <c:pt idx="18">
                  <c:v>15.6</c:v>
                </c:pt>
                <c:pt idx="19">
                  <c:v>19.5</c:v>
                </c:pt>
                <c:pt idx="20">
                  <c:v>25.5</c:v>
                </c:pt>
                <c:pt idx="21">
                  <c:v>46.4</c:v>
                </c:pt>
                <c:pt idx="22">
                  <c:v>34.800000000000004</c:v>
                </c:pt>
                <c:pt idx="23">
                  <c:v>20.7</c:v>
                </c:pt>
                <c:pt idx="24">
                  <c:v>34</c:v>
                </c:pt>
                <c:pt idx="25">
                  <c:v>29</c:v>
                </c:pt>
                <c:pt idx="26">
                  <c:v>66.900000000000006</c:v>
                </c:pt>
                <c:pt idx="27">
                  <c:v>27.4</c:v>
                </c:pt>
                <c:pt idx="28">
                  <c:v>31.7</c:v>
                </c:pt>
              </c:numCache>
            </c:numRef>
          </c:val>
        </c:ser>
        <c:overlap val="100"/>
        <c:axId val="257514496"/>
        <c:axId val="257512960"/>
      </c:barChart>
      <c:scatterChart>
        <c:scatterStyle val="lineMarker"/>
        <c:ser>
          <c:idx val="0"/>
          <c:order val="0"/>
          <c:tx>
            <c:v>2015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strRef>
              <c:f>Лист1!$A$3:$A$31</c:f>
              <c:strCache>
                <c:ptCount val="29"/>
                <c:pt idx="0">
                  <c:v>AT</c:v>
                </c:pt>
                <c:pt idx="1">
                  <c:v>BE</c:v>
                </c:pt>
                <c:pt idx="2">
                  <c:v>BG</c:v>
                </c:pt>
                <c:pt idx="3">
                  <c:v>HR</c:v>
                </c:pt>
                <c:pt idx="4">
                  <c:v>CY</c:v>
                </c:pt>
                <c:pt idx="5">
                  <c:v>CZ</c:v>
                </c:pt>
                <c:pt idx="6">
                  <c:v>DK</c:v>
                </c:pt>
                <c:pt idx="7">
                  <c:v>EE</c:v>
                </c:pt>
                <c:pt idx="8">
                  <c:v>FI</c:v>
                </c:pt>
                <c:pt idx="9">
                  <c:v>FR</c:v>
                </c:pt>
                <c:pt idx="10">
                  <c:v>DE</c:v>
                </c:pt>
                <c:pt idx="11">
                  <c:v>EL</c:v>
                </c:pt>
                <c:pt idx="12">
                  <c:v>HU</c:v>
                </c:pt>
                <c:pt idx="13">
                  <c:v>IE</c:v>
                </c:pt>
                <c:pt idx="14">
                  <c:v>IT</c:v>
                </c:pt>
                <c:pt idx="15">
                  <c:v>LV</c:v>
                </c:pt>
                <c:pt idx="16">
                  <c:v>LT</c:v>
                </c:pt>
                <c:pt idx="17">
                  <c:v>LU</c:v>
                </c:pt>
                <c:pt idx="18">
                  <c:v>MT</c:v>
                </c:pt>
                <c:pt idx="19">
                  <c:v>NL</c:v>
                </c:pt>
                <c:pt idx="20">
                  <c:v>PL</c:v>
                </c:pt>
                <c:pt idx="21">
                  <c:v>PT</c:v>
                </c:pt>
                <c:pt idx="22">
                  <c:v>RO</c:v>
                </c:pt>
                <c:pt idx="23">
                  <c:v>SK</c:v>
                </c:pt>
                <c:pt idx="24">
                  <c:v>SI</c:v>
                </c:pt>
                <c:pt idx="25">
                  <c:v>ES</c:v>
                </c:pt>
                <c:pt idx="26">
                  <c:v>SE</c:v>
                </c:pt>
                <c:pt idx="27">
                  <c:v>UK</c:v>
                </c:pt>
                <c:pt idx="28">
                  <c:v>EU</c:v>
                </c:pt>
              </c:strCache>
            </c:strRef>
          </c:xVal>
          <c:yVal>
            <c:numRef>
              <c:f>Лист1!$B$3:$B$31</c:f>
              <c:numCache>
                <c:formatCode>0.00</c:formatCode>
                <c:ptCount val="29"/>
                <c:pt idx="0">
                  <c:v>33</c:v>
                </c:pt>
                <c:pt idx="1">
                  <c:v>7</c:v>
                </c:pt>
                <c:pt idx="2">
                  <c:v>17</c:v>
                </c:pt>
                <c:pt idx="3">
                  <c:v>29</c:v>
                </c:pt>
                <c:pt idx="4">
                  <c:v>10</c:v>
                </c:pt>
                <c:pt idx="5">
                  <c:v>15</c:v>
                </c:pt>
                <c:pt idx="6">
                  <c:v>31</c:v>
                </c:pt>
                <c:pt idx="7">
                  <c:v>29</c:v>
                </c:pt>
                <c:pt idx="8">
                  <c:v>39</c:v>
                </c:pt>
                <c:pt idx="9">
                  <c:v>15</c:v>
                </c:pt>
                <c:pt idx="10">
                  <c:v>15</c:v>
                </c:pt>
                <c:pt idx="11">
                  <c:v>15</c:v>
                </c:pt>
                <c:pt idx="12">
                  <c:v>14.73</c:v>
                </c:pt>
                <c:pt idx="13">
                  <c:v>9</c:v>
                </c:pt>
                <c:pt idx="14">
                  <c:v>17.3</c:v>
                </c:pt>
                <c:pt idx="15">
                  <c:v>38</c:v>
                </c:pt>
                <c:pt idx="16">
                  <c:v>26</c:v>
                </c:pt>
                <c:pt idx="17">
                  <c:v>5.5</c:v>
                </c:pt>
                <c:pt idx="18">
                  <c:v>5</c:v>
                </c:pt>
                <c:pt idx="19">
                  <c:v>6</c:v>
                </c:pt>
                <c:pt idx="20">
                  <c:v>13</c:v>
                </c:pt>
                <c:pt idx="21">
                  <c:v>27.6</c:v>
                </c:pt>
                <c:pt idx="22">
                  <c:v>25</c:v>
                </c:pt>
                <c:pt idx="23">
                  <c:v>14</c:v>
                </c:pt>
                <c:pt idx="24">
                  <c:v>21</c:v>
                </c:pt>
                <c:pt idx="25">
                  <c:v>16</c:v>
                </c:pt>
                <c:pt idx="26">
                  <c:v>55</c:v>
                </c:pt>
                <c:pt idx="27">
                  <c:v>8</c:v>
                </c:pt>
                <c:pt idx="28">
                  <c:v>18</c:v>
                </c:pt>
              </c:numCache>
            </c:numRef>
          </c:yVal>
        </c:ser>
        <c:ser>
          <c:idx val="1"/>
          <c:order val="1"/>
          <c:tx>
            <c:v>Цель на 2020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strRef>
              <c:f>Лист1!$A$3:$A$31</c:f>
              <c:strCache>
                <c:ptCount val="29"/>
                <c:pt idx="0">
                  <c:v>AT</c:v>
                </c:pt>
                <c:pt idx="1">
                  <c:v>BE</c:v>
                </c:pt>
                <c:pt idx="2">
                  <c:v>BG</c:v>
                </c:pt>
                <c:pt idx="3">
                  <c:v>HR</c:v>
                </c:pt>
                <c:pt idx="4">
                  <c:v>CY</c:v>
                </c:pt>
                <c:pt idx="5">
                  <c:v>CZ</c:v>
                </c:pt>
                <c:pt idx="6">
                  <c:v>DK</c:v>
                </c:pt>
                <c:pt idx="7">
                  <c:v>EE</c:v>
                </c:pt>
                <c:pt idx="8">
                  <c:v>FI</c:v>
                </c:pt>
                <c:pt idx="9">
                  <c:v>FR</c:v>
                </c:pt>
                <c:pt idx="10">
                  <c:v>DE</c:v>
                </c:pt>
                <c:pt idx="11">
                  <c:v>EL</c:v>
                </c:pt>
                <c:pt idx="12">
                  <c:v>HU</c:v>
                </c:pt>
                <c:pt idx="13">
                  <c:v>IE</c:v>
                </c:pt>
                <c:pt idx="14">
                  <c:v>IT</c:v>
                </c:pt>
                <c:pt idx="15">
                  <c:v>LV</c:v>
                </c:pt>
                <c:pt idx="16">
                  <c:v>LT</c:v>
                </c:pt>
                <c:pt idx="17">
                  <c:v>LU</c:v>
                </c:pt>
                <c:pt idx="18">
                  <c:v>MT</c:v>
                </c:pt>
                <c:pt idx="19">
                  <c:v>NL</c:v>
                </c:pt>
                <c:pt idx="20">
                  <c:v>PL</c:v>
                </c:pt>
                <c:pt idx="21">
                  <c:v>PT</c:v>
                </c:pt>
                <c:pt idx="22">
                  <c:v>RO</c:v>
                </c:pt>
                <c:pt idx="23">
                  <c:v>SK</c:v>
                </c:pt>
                <c:pt idx="24">
                  <c:v>SI</c:v>
                </c:pt>
                <c:pt idx="25">
                  <c:v>ES</c:v>
                </c:pt>
                <c:pt idx="26">
                  <c:v>SE</c:v>
                </c:pt>
                <c:pt idx="27">
                  <c:v>UK</c:v>
                </c:pt>
                <c:pt idx="28">
                  <c:v>EU</c:v>
                </c:pt>
              </c:strCache>
            </c:strRef>
          </c:xVal>
          <c:yVal>
            <c:numRef>
              <c:f>Лист1!$C$3:$C$31</c:f>
              <c:numCache>
                <c:formatCode>0.00</c:formatCode>
                <c:ptCount val="29"/>
                <c:pt idx="0">
                  <c:v>34</c:v>
                </c:pt>
                <c:pt idx="1">
                  <c:v>13</c:v>
                </c:pt>
                <c:pt idx="2">
                  <c:v>15</c:v>
                </c:pt>
                <c:pt idx="3">
                  <c:v>20</c:v>
                </c:pt>
                <c:pt idx="4">
                  <c:v>14</c:v>
                </c:pt>
                <c:pt idx="5">
                  <c:v>13</c:v>
                </c:pt>
                <c:pt idx="6">
                  <c:v>29.3</c:v>
                </c:pt>
                <c:pt idx="7">
                  <c:v>24.5</c:v>
                </c:pt>
                <c:pt idx="8">
                  <c:v>37.200000000000003</c:v>
                </c:pt>
                <c:pt idx="9">
                  <c:v>23</c:v>
                </c:pt>
                <c:pt idx="10">
                  <c:v>18</c:v>
                </c:pt>
                <c:pt idx="11">
                  <c:v>18</c:v>
                </c:pt>
                <c:pt idx="12">
                  <c:v>13</c:v>
                </c:pt>
                <c:pt idx="13">
                  <c:v>16</c:v>
                </c:pt>
                <c:pt idx="14">
                  <c:v>17</c:v>
                </c:pt>
                <c:pt idx="15">
                  <c:v>39.5</c:v>
                </c:pt>
                <c:pt idx="16">
                  <c:v>23</c:v>
                </c:pt>
                <c:pt idx="17">
                  <c:v>11</c:v>
                </c:pt>
                <c:pt idx="18">
                  <c:v>10</c:v>
                </c:pt>
                <c:pt idx="19">
                  <c:v>14</c:v>
                </c:pt>
                <c:pt idx="20">
                  <c:v>15</c:v>
                </c:pt>
                <c:pt idx="21">
                  <c:v>30.7</c:v>
                </c:pt>
                <c:pt idx="22">
                  <c:v>23.5</c:v>
                </c:pt>
                <c:pt idx="23">
                  <c:v>14</c:v>
                </c:pt>
                <c:pt idx="24">
                  <c:v>24.4</c:v>
                </c:pt>
                <c:pt idx="25">
                  <c:v>20</c:v>
                </c:pt>
                <c:pt idx="26">
                  <c:v>48</c:v>
                </c:pt>
                <c:pt idx="27">
                  <c:v>15</c:v>
                </c:pt>
                <c:pt idx="28">
                  <c:v>20</c:v>
                </c:pt>
              </c:numCache>
            </c:numRef>
          </c:yVal>
        </c:ser>
        <c:axId val="257514496"/>
        <c:axId val="257512960"/>
      </c:scatterChart>
      <c:valAx>
        <c:axId val="257512960"/>
        <c:scaling>
          <c:orientation val="minMax"/>
        </c:scaling>
        <c:axPos val="r"/>
        <c:numFmt formatCode="0.00" sourceLinked="1"/>
        <c:tickLblPos val="low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7514496"/>
        <c:crosses val="max"/>
        <c:crossBetween val="between"/>
      </c:valAx>
      <c:catAx>
        <c:axId val="257514496"/>
        <c:scaling>
          <c:orientation val="minMax"/>
        </c:scaling>
        <c:axPos val="t"/>
        <c:numFmt formatCode="General" sourceLinked="1"/>
        <c:tickLblPos val="low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7512960"/>
        <c:crosses val="max"/>
        <c:auto val="1"/>
        <c:lblAlgn val="ctr"/>
        <c:lblOffset val="100"/>
        <c:tickMarkSkip val="1"/>
      </c:cat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 Version="10">
  <b:Source>
    <b:Tag>Int17</b:Tag>
    <b:SourceType>Report</b:SourceType>
    <b:Guid>{16CFFE15-B370-48F6-9C79-6C4F84AA59B1}</b:Guid>
    <b:Title>World Energy Outlook 2017</b:Title>
    <b:Year>2017</b:Year>
    <b:Publisher>IEA Publications</b:Publisher>
    <b:Author>
      <b:Author>
        <b:NameList>
          <b:Person>
            <b:Last>Agency</b:Last>
            <b:First>International</b:First>
            <b:Middle>Energy</b:Middle>
          </b:Person>
        </b:NameList>
      </b:Author>
    </b:Author>
    <b:RefOrder>2</b:RefOrder>
  </b:Source>
  <b:Source>
    <b:Tag>Ерм</b:Tag>
    <b:SourceType>Book</b:SourceType>
    <b:Guid>{E416BAF6-1845-4CD6-8E6D-E6132C46B54E}</b:Guid>
    <b:Author>
      <b:Author>
        <b:NameList>
          <b:Person>
            <b:Last>Ермоленко Б. Насколько высок технически реализуемый потенциал ВИЭ в России? / Б. Ермоленко</b:Last>
            <b:First>Г.</b:First>
            <b:Middle>Ермоленко Л. Проскурякова // ТЭК России — 2017.— № 9.— С. 23.</b:Middle>
          </b:Person>
        </b:NameList>
      </b:Author>
    </b:Author>
    <b:RefOrder>1</b:RefOrder>
  </b:Source>
</b:Sourc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ACDC1C890C6E4483965D809E1716AD" ma:contentTypeVersion="1" ma:contentTypeDescription="Создание документа." ma:contentTypeScope="" ma:versionID="18444a524edb196a82aa3c2e7fa75f2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DD752F8-B796-4A8E-8070-B5903C41568C}"/>
</file>

<file path=customXml/itemProps2.xml><?xml version="1.0" encoding="utf-8"?>
<ds:datastoreItem xmlns:ds="http://schemas.openxmlformats.org/officeDocument/2006/customXml" ds:itemID="{7F07E341-855A-41D2-A6D3-0461AFC4A789}"/>
</file>

<file path=customXml/itemProps3.xml><?xml version="1.0" encoding="utf-8"?>
<ds:datastoreItem xmlns:ds="http://schemas.openxmlformats.org/officeDocument/2006/customXml" ds:itemID="{A22AB10E-DAA7-4B92-AB02-F623829CE1B1}"/>
</file>

<file path=customXml/itemProps4.xml><?xml version="1.0" encoding="utf-8"?>
<ds:datastoreItem xmlns:ds="http://schemas.openxmlformats.org/officeDocument/2006/customXml" ds:itemID="{A0F71EE7-F110-49E3-BAFD-C2D4CCF897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3605</Words>
  <Characters>20549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Отчёт команды "Потенциал" 1 этап РЭН</dc:title>
  <dc:creator>Евгений Рогозинников</dc:creator>
  <cp:lastModifiedBy>Светлана</cp:lastModifiedBy>
  <cp:revision>2</cp:revision>
  <dcterms:created xsi:type="dcterms:W3CDTF">2018-03-29T20:26:00Z</dcterms:created>
  <dcterms:modified xsi:type="dcterms:W3CDTF">2018-03-29T20:26:00Z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0x010100C7ACDC1C890C6E4483965D809E1716AD</vt:lpwstr>
  </property>
</Properties>
</file>