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A4B" w:rsidRDefault="00CE4A4B" w:rsidP="00CE4A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E4A4B" w:rsidRDefault="00CE4A4B" w:rsidP="00CE4A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A4B" w:rsidRDefault="00CE4A4B" w:rsidP="00CE4A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A4B" w:rsidRDefault="00CE4A4B" w:rsidP="00CE4A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A4B" w:rsidRDefault="00CE4A4B" w:rsidP="00CE4A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A4B" w:rsidRDefault="00CE4A4B" w:rsidP="00CE4A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A4B" w:rsidRDefault="00CE4A4B" w:rsidP="00CE4A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A4B" w:rsidRDefault="00CE4A4B" w:rsidP="00CE4A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A4B" w:rsidRDefault="00CE4A4B" w:rsidP="00CE4A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A4B" w:rsidRDefault="00CE4A4B" w:rsidP="00CE4A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A4B" w:rsidRDefault="00CE4A4B" w:rsidP="00CE4A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A4B" w:rsidRDefault="00CE4A4B" w:rsidP="00CE4A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A4B" w:rsidRDefault="00CE4A4B" w:rsidP="00CE4A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A4B" w:rsidRDefault="00CE4A4B" w:rsidP="00CE4A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A4B" w:rsidRDefault="00CE4A4B" w:rsidP="0046670B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КОМАНДЫ «ПОТЕНЦИАЛ» </w:t>
      </w:r>
    </w:p>
    <w:p w:rsidR="00CE4A4B" w:rsidRDefault="00CE4A4B" w:rsidP="00CE4A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заданию №3 в рамках подготовки</w:t>
      </w:r>
    </w:p>
    <w:p w:rsidR="00CE4A4B" w:rsidRPr="00CE4A4B" w:rsidRDefault="00CE4A4B" w:rsidP="00CE4A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Прогноза технологического развития топливно-энергетического комплекса России в контексте мировых трендов до 2030 года.</w:t>
      </w:r>
    </w:p>
    <w:p w:rsidR="00CE4A4B" w:rsidRPr="00CE4A4B" w:rsidRDefault="00CE4A4B" w:rsidP="00CE4A4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A4B" w:rsidRDefault="00CE4A4B" w:rsidP="001C3F5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E4A4B" w:rsidRDefault="00CE4A4B" w:rsidP="001C3F5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A7289" w:rsidRDefault="00CE4A4B" w:rsidP="001C3F5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E4A4B">
        <w:rPr>
          <w:rFonts w:ascii="Times New Roman" w:hAnsi="Times New Roman" w:cs="Times New Roman"/>
          <w:b/>
          <w:i/>
          <w:sz w:val="24"/>
          <w:szCs w:val="24"/>
        </w:rPr>
        <w:t xml:space="preserve">Интеллектуальные системы электро-, тепло- и газоснабжения, интеграция различных видов энергоресурсов и средств распределенной </w:t>
      </w:r>
      <w:proofErr w:type="spellStart"/>
      <w:r w:rsidRPr="00CE4A4B">
        <w:rPr>
          <w:rFonts w:ascii="Times New Roman" w:hAnsi="Times New Roman" w:cs="Times New Roman"/>
          <w:b/>
          <w:i/>
          <w:sz w:val="24"/>
          <w:szCs w:val="24"/>
        </w:rPr>
        <w:t>энергогенерации</w:t>
      </w:r>
      <w:proofErr w:type="spellEnd"/>
    </w:p>
    <w:p w:rsidR="00CE4A4B" w:rsidRDefault="00CE4A4B" w:rsidP="001C3F5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E4A4B" w:rsidRDefault="00CE4A4B" w:rsidP="001C3F5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E4A4B" w:rsidRDefault="00CE4A4B" w:rsidP="001C3F5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E4A4B" w:rsidRDefault="00CE4A4B" w:rsidP="001C3F5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E4A4B" w:rsidRDefault="00CE4A4B" w:rsidP="001C3F5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E4A4B" w:rsidRDefault="00CE4A4B" w:rsidP="001C3F5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E4A4B" w:rsidRDefault="00CE4A4B" w:rsidP="001C3F5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E4A4B" w:rsidRDefault="00CE4A4B" w:rsidP="001C3F5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E4A4B" w:rsidRDefault="00CE4A4B" w:rsidP="001C3F5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E4A4B" w:rsidRPr="00CE4A4B" w:rsidRDefault="00CE4A4B" w:rsidP="0046670B">
      <w:pPr>
        <w:spacing w:after="0" w:line="360" w:lineRule="auto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E4A4B">
        <w:rPr>
          <w:rFonts w:ascii="Times New Roman" w:hAnsi="Times New Roman" w:cs="Times New Roman"/>
          <w:sz w:val="24"/>
          <w:szCs w:val="24"/>
        </w:rPr>
        <w:t xml:space="preserve">Выполнили: участники команды «Потенциал» </w:t>
      </w:r>
    </w:p>
    <w:p w:rsidR="00CE4A4B" w:rsidRPr="00CE4A4B" w:rsidRDefault="00CE4A4B" w:rsidP="00CE4A4B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E4A4B">
        <w:rPr>
          <w:rFonts w:ascii="Times New Roman" w:hAnsi="Times New Roman" w:cs="Times New Roman"/>
          <w:sz w:val="24"/>
          <w:szCs w:val="24"/>
        </w:rPr>
        <w:t xml:space="preserve">- Давыдова Юлия и </w:t>
      </w:r>
      <w:proofErr w:type="spellStart"/>
      <w:r w:rsidRPr="00CE4A4B">
        <w:rPr>
          <w:rFonts w:ascii="Times New Roman" w:hAnsi="Times New Roman" w:cs="Times New Roman"/>
          <w:sz w:val="24"/>
          <w:szCs w:val="24"/>
        </w:rPr>
        <w:t>Карандашев</w:t>
      </w:r>
      <w:proofErr w:type="spellEnd"/>
      <w:r w:rsidRPr="00CE4A4B">
        <w:rPr>
          <w:rFonts w:ascii="Times New Roman" w:hAnsi="Times New Roman" w:cs="Times New Roman"/>
          <w:sz w:val="24"/>
          <w:szCs w:val="24"/>
        </w:rPr>
        <w:t xml:space="preserve"> Артем</w:t>
      </w:r>
    </w:p>
    <w:p w:rsidR="00CE4A4B" w:rsidRDefault="00CE4A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A6433" w:rsidRPr="00A173F1" w:rsidRDefault="007A6433" w:rsidP="001C3F5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73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CE4A4B">
        <w:rPr>
          <w:rFonts w:ascii="Times New Roman" w:hAnsi="Times New Roman" w:cs="Times New Roman"/>
          <w:b/>
          <w:sz w:val="24"/>
          <w:szCs w:val="24"/>
        </w:rPr>
        <w:t>Анализ</w:t>
      </w:r>
      <w:r w:rsidRPr="00A173F1">
        <w:rPr>
          <w:rFonts w:ascii="Times New Roman" w:hAnsi="Times New Roman" w:cs="Times New Roman"/>
          <w:b/>
          <w:sz w:val="24"/>
          <w:szCs w:val="24"/>
        </w:rPr>
        <w:t xml:space="preserve"> инструмент</w:t>
      </w:r>
      <w:r w:rsidR="00CE4A4B">
        <w:rPr>
          <w:rFonts w:ascii="Times New Roman" w:hAnsi="Times New Roman" w:cs="Times New Roman"/>
          <w:b/>
          <w:sz w:val="24"/>
          <w:szCs w:val="24"/>
        </w:rPr>
        <w:t>ов</w:t>
      </w:r>
      <w:r w:rsidRPr="00A173F1">
        <w:rPr>
          <w:rFonts w:ascii="Times New Roman" w:hAnsi="Times New Roman" w:cs="Times New Roman"/>
          <w:b/>
          <w:sz w:val="24"/>
          <w:szCs w:val="24"/>
        </w:rPr>
        <w:t xml:space="preserve"> инновационной поддержки </w:t>
      </w:r>
      <w:r w:rsidR="00CE4A4B">
        <w:rPr>
          <w:rFonts w:ascii="Times New Roman" w:hAnsi="Times New Roman" w:cs="Times New Roman"/>
          <w:b/>
          <w:sz w:val="24"/>
          <w:szCs w:val="24"/>
        </w:rPr>
        <w:t xml:space="preserve">выбранного </w:t>
      </w:r>
      <w:r w:rsidRPr="00A173F1">
        <w:rPr>
          <w:rFonts w:ascii="Times New Roman" w:hAnsi="Times New Roman" w:cs="Times New Roman"/>
          <w:b/>
          <w:sz w:val="24"/>
          <w:szCs w:val="24"/>
        </w:rPr>
        <w:t xml:space="preserve">направления в США, ЕС и России </w:t>
      </w:r>
    </w:p>
    <w:p w:rsidR="00F70D7D" w:rsidRPr="001C3F54" w:rsidRDefault="007A6433" w:rsidP="0046670B">
      <w:pPr>
        <w:spacing w:after="0" w:line="360" w:lineRule="auto"/>
        <w:ind w:firstLine="567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3F54">
        <w:rPr>
          <w:rFonts w:ascii="Times New Roman" w:hAnsi="Times New Roman" w:cs="Times New Roman"/>
          <w:b/>
          <w:sz w:val="24"/>
          <w:szCs w:val="24"/>
          <w:u w:val="single"/>
        </w:rPr>
        <w:t>1.1</w:t>
      </w:r>
      <w:r w:rsidR="00CE4A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E4A4B">
        <w:rPr>
          <w:rFonts w:ascii="Times New Roman" w:hAnsi="Times New Roman" w:cs="Times New Roman"/>
          <w:b/>
          <w:sz w:val="24"/>
          <w:szCs w:val="24"/>
          <w:u w:val="single"/>
        </w:rPr>
        <w:t>Аналз</w:t>
      </w:r>
      <w:proofErr w:type="spellEnd"/>
      <w:r w:rsidR="00CE4A4B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частного сектора</w:t>
      </w:r>
    </w:p>
    <w:p w:rsidR="00701AED" w:rsidRPr="001C3F54" w:rsidRDefault="00F70D7D" w:rsidP="001C3F5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F54">
        <w:rPr>
          <w:rFonts w:ascii="Times New Roman" w:hAnsi="Times New Roman" w:cs="Times New Roman"/>
          <w:sz w:val="24"/>
          <w:szCs w:val="24"/>
        </w:rPr>
        <w:t xml:space="preserve">В США и Канаде интеграция в сфере энергетики </w:t>
      </w:r>
      <w:r w:rsidR="00BF0017" w:rsidRPr="001C3F54">
        <w:rPr>
          <w:rFonts w:ascii="Times New Roman" w:hAnsi="Times New Roman" w:cs="Times New Roman"/>
          <w:sz w:val="24"/>
          <w:szCs w:val="24"/>
        </w:rPr>
        <w:t>состоялась</w:t>
      </w:r>
      <w:r w:rsidRPr="001C3F54">
        <w:rPr>
          <w:rFonts w:ascii="Times New Roman" w:hAnsi="Times New Roman" w:cs="Times New Roman"/>
          <w:sz w:val="24"/>
          <w:szCs w:val="24"/>
        </w:rPr>
        <w:t xml:space="preserve"> посредством либерализации или </w:t>
      </w:r>
      <w:proofErr w:type="spellStart"/>
      <w:r w:rsidRPr="001C3F54">
        <w:rPr>
          <w:rFonts w:ascii="Times New Roman" w:hAnsi="Times New Roman" w:cs="Times New Roman"/>
          <w:sz w:val="24"/>
          <w:szCs w:val="24"/>
        </w:rPr>
        <w:t>разрег</w:t>
      </w:r>
      <w:r w:rsidR="00BF0017" w:rsidRPr="001C3F54">
        <w:rPr>
          <w:rFonts w:ascii="Times New Roman" w:hAnsi="Times New Roman" w:cs="Times New Roman"/>
          <w:sz w:val="24"/>
          <w:szCs w:val="24"/>
        </w:rPr>
        <w:t>ламентирование</w:t>
      </w:r>
      <w:proofErr w:type="spellEnd"/>
      <w:r w:rsidRPr="001C3F54">
        <w:rPr>
          <w:rFonts w:ascii="Times New Roman" w:hAnsi="Times New Roman" w:cs="Times New Roman"/>
          <w:sz w:val="24"/>
          <w:szCs w:val="24"/>
        </w:rPr>
        <w:t xml:space="preserve"> энергетических рынков (в частности, рынка газа и электроэнергетики).</w:t>
      </w:r>
    </w:p>
    <w:p w:rsidR="00F70D7D" w:rsidRPr="001C3F54" w:rsidRDefault="00F70D7D" w:rsidP="001C3F5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F54">
        <w:rPr>
          <w:rFonts w:ascii="Times New Roman" w:hAnsi="Times New Roman" w:cs="Times New Roman"/>
          <w:sz w:val="24"/>
          <w:szCs w:val="24"/>
        </w:rPr>
        <w:t>В процессе интегр</w:t>
      </w:r>
      <w:r w:rsidR="00BF0017" w:rsidRPr="001C3F54">
        <w:rPr>
          <w:rFonts w:ascii="Times New Roman" w:hAnsi="Times New Roman" w:cs="Times New Roman"/>
          <w:sz w:val="24"/>
          <w:szCs w:val="24"/>
        </w:rPr>
        <w:t>ирования</w:t>
      </w:r>
      <w:r w:rsidRPr="001C3F54">
        <w:rPr>
          <w:rFonts w:ascii="Times New Roman" w:hAnsi="Times New Roman" w:cs="Times New Roman"/>
          <w:sz w:val="24"/>
          <w:szCs w:val="24"/>
        </w:rPr>
        <w:t xml:space="preserve"> энергетических рынков североамериканским государствам </w:t>
      </w:r>
      <w:r w:rsidR="00BF0017" w:rsidRPr="001C3F54">
        <w:rPr>
          <w:rFonts w:ascii="Times New Roman" w:hAnsi="Times New Roman" w:cs="Times New Roman"/>
          <w:sz w:val="24"/>
          <w:szCs w:val="24"/>
        </w:rPr>
        <w:t>довелось урегулировать</w:t>
      </w:r>
      <w:r w:rsidRPr="001C3F54">
        <w:rPr>
          <w:rFonts w:ascii="Times New Roman" w:hAnsi="Times New Roman" w:cs="Times New Roman"/>
          <w:sz w:val="24"/>
          <w:szCs w:val="24"/>
        </w:rPr>
        <w:t xml:space="preserve"> три основных </w:t>
      </w:r>
      <w:r w:rsidR="00BF0017" w:rsidRPr="001C3F54">
        <w:rPr>
          <w:rFonts w:ascii="Times New Roman" w:hAnsi="Times New Roman" w:cs="Times New Roman"/>
          <w:sz w:val="24"/>
          <w:szCs w:val="24"/>
        </w:rPr>
        <w:t>вопроса</w:t>
      </w:r>
      <w:r w:rsidRPr="001C3F54">
        <w:rPr>
          <w:rFonts w:ascii="Times New Roman" w:hAnsi="Times New Roman" w:cs="Times New Roman"/>
          <w:sz w:val="24"/>
          <w:szCs w:val="24"/>
        </w:rPr>
        <w:t xml:space="preserve">: преодолеть тарифные и нетарифные </w:t>
      </w:r>
      <w:r w:rsidR="00BF0017" w:rsidRPr="001C3F54">
        <w:rPr>
          <w:rFonts w:ascii="Times New Roman" w:hAnsi="Times New Roman" w:cs="Times New Roman"/>
          <w:sz w:val="24"/>
          <w:szCs w:val="24"/>
        </w:rPr>
        <w:t>сдерживания</w:t>
      </w:r>
      <w:r w:rsidRPr="001C3F54">
        <w:rPr>
          <w:rFonts w:ascii="Times New Roman" w:hAnsi="Times New Roman" w:cs="Times New Roman"/>
          <w:sz w:val="24"/>
          <w:szCs w:val="24"/>
        </w:rPr>
        <w:t xml:space="preserve"> межграничного товарооборота; </w:t>
      </w:r>
      <w:r w:rsidR="00BF0017" w:rsidRPr="001C3F54">
        <w:rPr>
          <w:rFonts w:ascii="Times New Roman" w:hAnsi="Times New Roman" w:cs="Times New Roman"/>
          <w:sz w:val="24"/>
          <w:szCs w:val="24"/>
        </w:rPr>
        <w:t>избыточное</w:t>
      </w:r>
      <w:r w:rsidRPr="001C3F54">
        <w:rPr>
          <w:rFonts w:ascii="Times New Roman" w:hAnsi="Times New Roman" w:cs="Times New Roman"/>
          <w:sz w:val="24"/>
          <w:szCs w:val="24"/>
        </w:rPr>
        <w:t xml:space="preserve"> регулирование энергетических рынков в государствах; а также г</w:t>
      </w:r>
      <w:r w:rsidR="00BF0017" w:rsidRPr="001C3F54">
        <w:rPr>
          <w:rFonts w:ascii="Times New Roman" w:hAnsi="Times New Roman" w:cs="Times New Roman"/>
          <w:sz w:val="24"/>
          <w:szCs w:val="24"/>
        </w:rPr>
        <w:t>еополитические или естественные</w:t>
      </w:r>
      <w:r w:rsidRPr="001C3F54">
        <w:rPr>
          <w:rFonts w:ascii="Times New Roman" w:hAnsi="Times New Roman" w:cs="Times New Roman"/>
          <w:sz w:val="24"/>
          <w:szCs w:val="24"/>
        </w:rPr>
        <w:t xml:space="preserve"> ограничения.</w:t>
      </w:r>
    </w:p>
    <w:p w:rsidR="000842B3" w:rsidRPr="001C3F54" w:rsidRDefault="00BF0017" w:rsidP="001C3F54">
      <w:pPr>
        <w:spacing w:after="0" w:line="360" w:lineRule="auto"/>
        <w:ind w:firstLine="567"/>
        <w:contextualSpacing/>
        <w:jc w:val="both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C3F54">
        <w:rPr>
          <w:rFonts w:ascii="Times New Roman" w:hAnsi="Times New Roman" w:cs="Times New Roman"/>
          <w:sz w:val="24"/>
          <w:szCs w:val="24"/>
        </w:rPr>
        <w:t>Объединение</w:t>
      </w:r>
      <w:r w:rsidR="00F70D7D" w:rsidRPr="001C3F54">
        <w:rPr>
          <w:rFonts w:ascii="Times New Roman" w:hAnsi="Times New Roman" w:cs="Times New Roman"/>
          <w:sz w:val="24"/>
          <w:szCs w:val="24"/>
        </w:rPr>
        <w:t xml:space="preserve"> энергетических рынков в Северной Америке </w:t>
      </w:r>
      <w:r w:rsidRPr="001C3F54">
        <w:rPr>
          <w:rFonts w:ascii="Times New Roman" w:hAnsi="Times New Roman" w:cs="Times New Roman"/>
          <w:sz w:val="24"/>
          <w:szCs w:val="24"/>
        </w:rPr>
        <w:t>считается бесспорным</w:t>
      </w:r>
      <w:r w:rsidR="00F70D7D" w:rsidRPr="001C3F54">
        <w:rPr>
          <w:rFonts w:ascii="Times New Roman" w:hAnsi="Times New Roman" w:cs="Times New Roman"/>
          <w:sz w:val="24"/>
          <w:szCs w:val="24"/>
        </w:rPr>
        <w:t xml:space="preserve"> феноменом, который</w:t>
      </w:r>
      <w:r w:rsidRPr="001C3F54">
        <w:rPr>
          <w:rFonts w:ascii="Times New Roman" w:hAnsi="Times New Roman" w:cs="Times New Roman"/>
          <w:sz w:val="24"/>
          <w:szCs w:val="24"/>
        </w:rPr>
        <w:t xml:space="preserve"> имеет</w:t>
      </w:r>
      <w:r w:rsidR="00F70D7D" w:rsidRPr="001C3F54">
        <w:rPr>
          <w:rFonts w:ascii="Times New Roman" w:hAnsi="Times New Roman" w:cs="Times New Roman"/>
          <w:sz w:val="24"/>
          <w:szCs w:val="24"/>
        </w:rPr>
        <w:t xml:space="preserve"> характер</w:t>
      </w:r>
      <w:r w:rsidRPr="001C3F54">
        <w:rPr>
          <w:rFonts w:ascii="Times New Roman" w:hAnsi="Times New Roman" w:cs="Times New Roman"/>
          <w:sz w:val="24"/>
          <w:szCs w:val="24"/>
        </w:rPr>
        <w:t xml:space="preserve"> разного уровня</w:t>
      </w:r>
      <w:r w:rsidR="00F70D7D" w:rsidRPr="001C3F54">
        <w:rPr>
          <w:rFonts w:ascii="Times New Roman" w:hAnsi="Times New Roman" w:cs="Times New Roman"/>
          <w:sz w:val="24"/>
          <w:szCs w:val="24"/>
        </w:rPr>
        <w:t xml:space="preserve"> и отличается </w:t>
      </w:r>
      <w:r w:rsidRPr="001C3F54">
        <w:rPr>
          <w:rFonts w:ascii="Times New Roman" w:hAnsi="Times New Roman" w:cs="Times New Roman"/>
          <w:sz w:val="24"/>
          <w:szCs w:val="24"/>
        </w:rPr>
        <w:t>ощутимым</w:t>
      </w:r>
      <w:r w:rsidR="00F70D7D" w:rsidRPr="001C3F54">
        <w:rPr>
          <w:rFonts w:ascii="Times New Roman" w:hAnsi="Times New Roman" w:cs="Times New Roman"/>
          <w:sz w:val="24"/>
          <w:szCs w:val="24"/>
        </w:rPr>
        <w:t xml:space="preserve"> дисбалансом. Дисбаланс на энергетических рынках Северной Америки </w:t>
      </w:r>
      <w:r w:rsidRPr="001C3F54">
        <w:rPr>
          <w:rFonts w:ascii="Times New Roman" w:hAnsi="Times New Roman" w:cs="Times New Roman"/>
          <w:sz w:val="24"/>
          <w:szCs w:val="24"/>
        </w:rPr>
        <w:t>описывается</w:t>
      </w:r>
      <w:r w:rsidR="00F70D7D" w:rsidRPr="001C3F54">
        <w:rPr>
          <w:rFonts w:ascii="Times New Roman" w:hAnsi="Times New Roman" w:cs="Times New Roman"/>
          <w:sz w:val="24"/>
          <w:szCs w:val="24"/>
        </w:rPr>
        <w:t xml:space="preserve"> географическими факторами, наличием природных ресурсов и уровнем </w:t>
      </w:r>
      <w:proofErr w:type="spellStart"/>
      <w:r w:rsidRPr="001C3F54">
        <w:rPr>
          <w:rFonts w:ascii="Times New Roman" w:hAnsi="Times New Roman" w:cs="Times New Roman"/>
          <w:sz w:val="24"/>
          <w:szCs w:val="24"/>
        </w:rPr>
        <w:t>потребностив</w:t>
      </w:r>
      <w:proofErr w:type="spellEnd"/>
      <w:r w:rsidR="00F70D7D" w:rsidRPr="001C3F54">
        <w:rPr>
          <w:rFonts w:ascii="Times New Roman" w:hAnsi="Times New Roman" w:cs="Times New Roman"/>
          <w:sz w:val="24"/>
          <w:szCs w:val="24"/>
        </w:rPr>
        <w:t xml:space="preserve"> них. </w:t>
      </w:r>
      <w:r w:rsidRPr="001C3F54">
        <w:rPr>
          <w:rFonts w:ascii="Times New Roman" w:hAnsi="Times New Roman" w:cs="Times New Roman"/>
          <w:sz w:val="24"/>
          <w:szCs w:val="24"/>
        </w:rPr>
        <w:t>Преимущественно</w:t>
      </w:r>
      <w:r w:rsidR="00F70D7D" w:rsidRPr="001C3F54">
        <w:rPr>
          <w:rFonts w:ascii="Times New Roman" w:hAnsi="Times New Roman" w:cs="Times New Roman"/>
          <w:sz w:val="24"/>
          <w:szCs w:val="24"/>
        </w:rPr>
        <w:t xml:space="preserve"> развитые интеграционные связи у</w:t>
      </w:r>
      <w:r w:rsidRPr="001C3F54">
        <w:rPr>
          <w:rFonts w:ascii="Times New Roman" w:hAnsi="Times New Roman" w:cs="Times New Roman"/>
          <w:sz w:val="24"/>
          <w:szCs w:val="24"/>
        </w:rPr>
        <w:t>чреждены</w:t>
      </w:r>
      <w:r w:rsidR="00F70D7D" w:rsidRPr="001C3F54">
        <w:rPr>
          <w:rFonts w:ascii="Times New Roman" w:hAnsi="Times New Roman" w:cs="Times New Roman"/>
          <w:sz w:val="24"/>
          <w:szCs w:val="24"/>
        </w:rPr>
        <w:t xml:space="preserve"> между ранками США и Канады, при этом Мексика по причине государственной монополии </w:t>
      </w:r>
      <w:r w:rsidRPr="001C3F54">
        <w:rPr>
          <w:rFonts w:ascii="Times New Roman" w:hAnsi="Times New Roman" w:cs="Times New Roman"/>
          <w:sz w:val="24"/>
          <w:szCs w:val="24"/>
        </w:rPr>
        <w:t>в действительности</w:t>
      </w:r>
      <w:r w:rsidR="00F70D7D" w:rsidRPr="001C3F54">
        <w:rPr>
          <w:rFonts w:ascii="Times New Roman" w:hAnsi="Times New Roman" w:cs="Times New Roman"/>
          <w:sz w:val="24"/>
          <w:szCs w:val="24"/>
        </w:rPr>
        <w:t xml:space="preserve"> во всех </w:t>
      </w:r>
      <w:r w:rsidRPr="001C3F54">
        <w:rPr>
          <w:rFonts w:ascii="Times New Roman" w:hAnsi="Times New Roman" w:cs="Times New Roman"/>
          <w:sz w:val="24"/>
          <w:szCs w:val="24"/>
        </w:rPr>
        <w:t>направлениях</w:t>
      </w:r>
      <w:r w:rsidR="00F70D7D" w:rsidRPr="001C3F54">
        <w:rPr>
          <w:rFonts w:ascii="Times New Roman" w:hAnsi="Times New Roman" w:cs="Times New Roman"/>
          <w:sz w:val="24"/>
          <w:szCs w:val="24"/>
        </w:rPr>
        <w:t xml:space="preserve"> энергетического сектора </w:t>
      </w:r>
      <w:r w:rsidRPr="001C3F54">
        <w:rPr>
          <w:rFonts w:ascii="Times New Roman" w:hAnsi="Times New Roman" w:cs="Times New Roman"/>
          <w:sz w:val="24"/>
          <w:szCs w:val="24"/>
        </w:rPr>
        <w:t>намного меньше, чем</w:t>
      </w:r>
      <w:r w:rsidR="00F70D7D" w:rsidRPr="001C3F54">
        <w:rPr>
          <w:rFonts w:ascii="Times New Roman" w:hAnsi="Times New Roman" w:cs="Times New Roman"/>
          <w:sz w:val="24"/>
          <w:szCs w:val="24"/>
        </w:rPr>
        <w:t xml:space="preserve"> от интеграционны</w:t>
      </w:r>
      <w:r w:rsidR="0066065A" w:rsidRPr="001C3F54">
        <w:rPr>
          <w:rFonts w:ascii="Times New Roman" w:hAnsi="Times New Roman" w:cs="Times New Roman"/>
          <w:sz w:val="24"/>
          <w:szCs w:val="24"/>
        </w:rPr>
        <w:t xml:space="preserve">х </w:t>
      </w:r>
      <w:r w:rsidR="00F70D7D" w:rsidRPr="001C3F54">
        <w:rPr>
          <w:rFonts w:ascii="Times New Roman" w:hAnsi="Times New Roman" w:cs="Times New Roman"/>
          <w:sz w:val="24"/>
          <w:szCs w:val="24"/>
        </w:rPr>
        <w:t>процесс</w:t>
      </w:r>
      <w:r w:rsidR="0066065A" w:rsidRPr="001C3F54">
        <w:rPr>
          <w:rFonts w:ascii="Times New Roman" w:hAnsi="Times New Roman" w:cs="Times New Roman"/>
          <w:sz w:val="24"/>
          <w:szCs w:val="24"/>
        </w:rPr>
        <w:t>ов</w:t>
      </w:r>
      <w:r w:rsidR="00F70D7D" w:rsidRPr="001C3F54">
        <w:rPr>
          <w:rFonts w:ascii="Times New Roman" w:hAnsi="Times New Roman" w:cs="Times New Roman"/>
          <w:sz w:val="24"/>
          <w:szCs w:val="24"/>
        </w:rPr>
        <w:t xml:space="preserve"> соседей.</w:t>
      </w:r>
    </w:p>
    <w:p w:rsidR="00701AED" w:rsidRPr="001C3F54" w:rsidRDefault="00701AED" w:rsidP="0046670B">
      <w:pPr>
        <w:spacing w:after="0" w:line="360" w:lineRule="auto"/>
        <w:ind w:firstLine="567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C3F54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>Инвестиционные фонды США:</w:t>
      </w:r>
    </w:p>
    <w:p w:rsidR="00701AED" w:rsidRPr="001C3F54" w:rsidRDefault="00701AED" w:rsidP="001C3F5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caps/>
          <w:color w:val="000000" w:themeColor="text1"/>
          <w:spacing w:val="8"/>
          <w:sz w:val="24"/>
          <w:szCs w:val="24"/>
          <w:shd w:val="clear" w:color="auto" w:fill="FFFFFF"/>
        </w:rPr>
      </w:pPr>
      <w:r w:rsidRPr="001C3F54">
        <w:rPr>
          <w:rFonts w:ascii="Times New Roman" w:hAnsi="Times New Roman" w:cs="Times New Roman"/>
          <w:bCs/>
          <w:caps/>
          <w:color w:val="000000" w:themeColor="text1"/>
          <w:spacing w:val="8"/>
          <w:sz w:val="24"/>
          <w:szCs w:val="24"/>
          <w:shd w:val="clear" w:color="auto" w:fill="FFFFFF"/>
        </w:rPr>
        <w:t>1.</w:t>
      </w:r>
      <w:r w:rsidRPr="001C3F54">
        <w:rPr>
          <w:rFonts w:ascii="Times New Roman" w:hAnsi="Times New Roman" w:cs="Times New Roman"/>
          <w:bCs/>
          <w:caps/>
          <w:color w:val="000000" w:themeColor="text1"/>
          <w:spacing w:val="8"/>
          <w:sz w:val="24"/>
          <w:szCs w:val="24"/>
          <w:shd w:val="clear" w:color="auto" w:fill="FFFFFF"/>
          <w:lang w:val="en-US"/>
        </w:rPr>
        <w:t>GUGGENHEIMSOLARETF</w:t>
      </w:r>
      <w:r w:rsidRPr="001C3F54">
        <w:rPr>
          <w:rFonts w:ascii="Times New Roman" w:hAnsi="Times New Roman" w:cs="Times New Roman"/>
          <w:bCs/>
          <w:caps/>
          <w:color w:val="000000" w:themeColor="text1"/>
          <w:spacing w:val="8"/>
          <w:sz w:val="24"/>
          <w:szCs w:val="24"/>
          <w:shd w:val="clear" w:color="auto" w:fill="FFFFFF"/>
        </w:rPr>
        <w:t xml:space="preserve"> [</w:t>
      </w:r>
      <w:r w:rsidRPr="001C3F54">
        <w:rPr>
          <w:rFonts w:ascii="Times New Roman" w:hAnsi="Times New Roman" w:cs="Times New Roman"/>
          <w:bCs/>
          <w:caps/>
          <w:color w:val="000000" w:themeColor="text1"/>
          <w:spacing w:val="8"/>
          <w:sz w:val="24"/>
          <w:szCs w:val="24"/>
          <w:shd w:val="clear" w:color="auto" w:fill="FFFFFF"/>
          <w:lang w:val="en-US"/>
        </w:rPr>
        <w:t>TAN</w:t>
      </w:r>
      <w:r w:rsidRPr="001C3F54">
        <w:rPr>
          <w:rFonts w:ascii="Times New Roman" w:hAnsi="Times New Roman" w:cs="Times New Roman"/>
          <w:bCs/>
          <w:caps/>
          <w:color w:val="000000" w:themeColor="text1"/>
          <w:spacing w:val="8"/>
          <w:sz w:val="24"/>
          <w:szCs w:val="24"/>
          <w:shd w:val="clear" w:color="auto" w:fill="FFFFFF"/>
        </w:rPr>
        <w:t>]</w:t>
      </w:r>
    </w:p>
    <w:p w:rsidR="00701AED" w:rsidRPr="001C3F54" w:rsidRDefault="00C71E2D" w:rsidP="001C3F5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caps/>
          <w:color w:val="000000" w:themeColor="text1"/>
          <w:spacing w:val="8"/>
          <w:sz w:val="24"/>
          <w:szCs w:val="24"/>
          <w:shd w:val="clear" w:color="auto" w:fill="FFFFFF"/>
        </w:rPr>
      </w:pPr>
      <w:r w:rsidRPr="001C3F54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 xml:space="preserve">TAN </w:t>
      </w:r>
      <w:r w:rsidR="00BF0017" w:rsidRPr="001C3F54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>изучает</w:t>
      </w:r>
      <w:r w:rsidRPr="001C3F54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 xml:space="preserve"> индекс MAC, в </w:t>
      </w:r>
      <w:proofErr w:type="spellStart"/>
      <w:r w:rsidRPr="001C3F54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>котор</w:t>
      </w:r>
      <w:r w:rsidR="00BF0017" w:rsidRPr="001C3F54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>омнаходятся</w:t>
      </w:r>
      <w:proofErr w:type="spellEnd"/>
      <w:r w:rsidRPr="001C3F54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 xml:space="preserve"> 23 публичные компании, занимающиеся солнечной энергетикой 90%</w:t>
      </w:r>
      <w:r w:rsidR="00BF0017" w:rsidRPr="001C3F54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 xml:space="preserve"> собственн</w:t>
      </w:r>
      <w:r w:rsidR="0066065A" w:rsidRPr="001C3F54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>ы</w:t>
      </w:r>
      <w:r w:rsidR="00BF0017" w:rsidRPr="001C3F54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>х</w:t>
      </w:r>
      <w:r w:rsidRPr="001C3F54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 xml:space="preserve"> инвестиций в ценные бумаги</w:t>
      </w:r>
      <w:r w:rsidR="0066065A" w:rsidRPr="001C3F54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>,</w:t>
      </w:r>
      <w:r w:rsidRPr="001C3F54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 xml:space="preserve"> фонд выбирает</w:t>
      </w:r>
      <w:r w:rsidR="00BF0017" w:rsidRPr="001C3F54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>ся</w:t>
      </w:r>
      <w:r w:rsidRPr="001C3F54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 xml:space="preserve"> из этого индекса. </w:t>
      </w:r>
      <w:proofErr w:type="spellStart"/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MAC </w:t>
      </w:r>
      <w:proofErr w:type="spellStart"/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Global</w:t>
      </w:r>
      <w:proofErr w:type="spellEnd"/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Solar</w:t>
      </w:r>
      <w:proofErr w:type="spellEnd"/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Energy</w:t>
      </w:r>
      <w:proofErr w:type="spellEnd"/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Index</w:t>
      </w:r>
      <w:proofErr w:type="spellEnd"/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F0017"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допускает </w:t>
      </w:r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отслежива</w:t>
      </w:r>
      <w:r w:rsidR="00BF0017"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ние</w:t>
      </w:r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компании различных бизнес-сегментов солнечной энергетики: </w:t>
      </w:r>
      <w:r w:rsidR="0066065A"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разработчики</w:t>
      </w:r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солнечного энергетического оборудования; поставщики услуг производителям солнечного оборудования; а также компании, специализирующиеся на </w:t>
      </w:r>
      <w:r w:rsidR="00BF0017"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реализации</w:t>
      </w:r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солнечной электроэнергии. </w:t>
      </w:r>
    </w:p>
    <w:p w:rsidR="00701AED" w:rsidRPr="001C3F54" w:rsidRDefault="00701AED" w:rsidP="001C3F5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caps/>
          <w:color w:val="000000" w:themeColor="text1"/>
          <w:spacing w:val="8"/>
          <w:sz w:val="24"/>
          <w:szCs w:val="24"/>
          <w:shd w:val="clear" w:color="auto" w:fill="FFFFFF"/>
          <w:lang w:val="en-US"/>
        </w:rPr>
      </w:pPr>
      <w:r w:rsidRPr="001C3F54">
        <w:rPr>
          <w:rFonts w:ascii="Times New Roman" w:hAnsi="Times New Roman" w:cs="Times New Roman"/>
          <w:bCs/>
          <w:caps/>
          <w:color w:val="000000" w:themeColor="text1"/>
          <w:spacing w:val="8"/>
          <w:sz w:val="24"/>
          <w:szCs w:val="24"/>
          <w:shd w:val="clear" w:color="auto" w:fill="FFFFFF"/>
          <w:lang w:val="en-US"/>
        </w:rPr>
        <w:t>2.VANECK VECTORS GLOBAL ALTERNATIVE ENERGY ETF (GEX)</w:t>
      </w:r>
    </w:p>
    <w:p w:rsidR="00A3038E" w:rsidRPr="001C3F54" w:rsidRDefault="00BF0017" w:rsidP="001C3F5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caps/>
          <w:color w:val="000000" w:themeColor="text1"/>
          <w:spacing w:val="8"/>
          <w:sz w:val="24"/>
          <w:szCs w:val="24"/>
          <w:shd w:val="clear" w:color="auto" w:fill="FFFFFF"/>
        </w:rPr>
      </w:pPr>
      <w:r w:rsidRPr="001C3F54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 xml:space="preserve">Данный фонд изучает </w:t>
      </w:r>
      <w:r w:rsidR="00A3038E" w:rsidRPr="001C3F54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 xml:space="preserve">глобальный индекс альтернативной энергетики </w:t>
      </w:r>
      <w:proofErr w:type="spellStart"/>
      <w:r w:rsidR="00A3038E" w:rsidRPr="001C3F54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>Ardour</w:t>
      </w:r>
      <w:proofErr w:type="spellEnd"/>
      <w:r w:rsidR="00A3038E" w:rsidRPr="001C3F54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 xml:space="preserve"> (</w:t>
      </w:r>
      <w:r w:rsidR="00A3038E"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Глобальные альтернативные показатели энергии </w:t>
      </w:r>
      <w:proofErr w:type="spellStart"/>
      <w:r w:rsidR="00A3038E"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Ardor</w:t>
      </w:r>
      <w:proofErr w:type="spellEnd"/>
      <w:r w:rsidR="00A3038E"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необходимы</w:t>
      </w:r>
      <w:r w:rsidR="00A3038E"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для того, чтобы </w:t>
      </w:r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значится</w:t>
      </w:r>
      <w:r w:rsidR="00A3038E"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справедливыми, беспристрастными и прозрачными мерами в </w:t>
      </w:r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сфере</w:t>
      </w:r>
      <w:r w:rsidR="00A3038E"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</w:t>
      </w:r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ействия </w:t>
      </w:r>
      <w:r w:rsidR="00A3038E"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альтернативной энергетической отрасли.)</w:t>
      </w:r>
    </w:p>
    <w:p w:rsidR="00701AED" w:rsidRPr="001C3F54" w:rsidRDefault="00C90295" w:rsidP="001C3F5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caps/>
          <w:color w:val="000000" w:themeColor="text1"/>
          <w:spacing w:val="8"/>
          <w:sz w:val="24"/>
          <w:szCs w:val="24"/>
          <w:shd w:val="clear" w:color="auto" w:fill="FFFFFF"/>
        </w:rPr>
      </w:pPr>
      <w:r w:rsidRPr="001C3F54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>Примерно</w:t>
      </w:r>
      <w:r w:rsidR="00F87E9B" w:rsidRPr="001C3F54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 xml:space="preserve"> трет</w:t>
      </w:r>
      <w:r w:rsidRPr="001C3F54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>ь</w:t>
      </w:r>
      <w:r w:rsidR="00F87E9B" w:rsidRPr="001C3F54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 xml:space="preserve"> компаний, </w:t>
      </w:r>
      <w:r w:rsidRPr="001C3F54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>находящихся</w:t>
      </w:r>
      <w:r w:rsidR="00F87E9B" w:rsidRPr="001C3F54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 xml:space="preserve"> в фонд</w:t>
      </w:r>
      <w:r w:rsidRPr="001C3F54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>е</w:t>
      </w:r>
      <w:r w:rsidR="00F87E9B" w:rsidRPr="001C3F54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 xml:space="preserve">, это компании с </w:t>
      </w:r>
      <w:r w:rsidRPr="001C3F54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 xml:space="preserve">обширной </w:t>
      </w:r>
      <w:r w:rsidR="00F87E9B" w:rsidRPr="001C3F54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>капитализацией.</w:t>
      </w:r>
    </w:p>
    <w:p w:rsidR="00701AED" w:rsidRPr="001C3F54" w:rsidRDefault="00701AED" w:rsidP="001C3F5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caps/>
          <w:color w:val="000000" w:themeColor="text1"/>
          <w:spacing w:val="8"/>
          <w:sz w:val="24"/>
          <w:szCs w:val="24"/>
          <w:shd w:val="clear" w:color="auto" w:fill="FFFFFF"/>
          <w:lang w:val="en-US"/>
        </w:rPr>
      </w:pPr>
      <w:r w:rsidRPr="001C3F54">
        <w:rPr>
          <w:rFonts w:ascii="Times New Roman" w:hAnsi="Times New Roman" w:cs="Times New Roman"/>
          <w:bCs/>
          <w:caps/>
          <w:color w:val="000000" w:themeColor="text1"/>
          <w:spacing w:val="8"/>
          <w:sz w:val="24"/>
          <w:szCs w:val="24"/>
          <w:shd w:val="clear" w:color="auto" w:fill="FFFFFF"/>
          <w:lang w:val="en-US"/>
        </w:rPr>
        <w:lastRenderedPageBreak/>
        <w:t>3. ISHARES GLOBAL CLEAN ENERGY INDEX FUND (ICLN)</w:t>
      </w:r>
    </w:p>
    <w:p w:rsidR="00701AED" w:rsidRPr="001C3F54" w:rsidRDefault="00D738E5" w:rsidP="001C3F5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IShares</w:t>
      </w:r>
      <w:proofErr w:type="spellEnd"/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Global</w:t>
      </w:r>
      <w:proofErr w:type="spellEnd"/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Clean</w:t>
      </w:r>
      <w:proofErr w:type="spellEnd"/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Energy</w:t>
      </w:r>
      <w:proofErr w:type="spellEnd"/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ETF </w:t>
      </w:r>
      <w:r w:rsidR="00C90295"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фиксирует</w:t>
      </w:r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индексированный по рынку индекс 30 </w:t>
      </w:r>
      <w:r w:rsidR="00C90295"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особо </w:t>
      </w:r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ликвидных </w:t>
      </w:r>
      <w:r w:rsidR="00C90295"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организаций</w:t>
      </w:r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вовлеченных в бизнес,</w:t>
      </w:r>
      <w:r w:rsidR="00C90295"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сопричастные</w:t>
      </w:r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чистой энергией.</w:t>
      </w:r>
    </w:p>
    <w:p w:rsidR="00D738E5" w:rsidRPr="001C3F54" w:rsidRDefault="00D738E5" w:rsidP="001C3F5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ICLN </w:t>
      </w:r>
      <w:r w:rsidR="00C90295"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обладает</w:t>
      </w:r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портфел</w:t>
      </w:r>
      <w:r w:rsidR="00C90295"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ем</w:t>
      </w:r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компаний с «чистой энергией», которые он </w:t>
      </w:r>
      <w:r w:rsidR="00C90295"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выражает как те</w:t>
      </w:r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кто участвует в </w:t>
      </w:r>
      <w:proofErr w:type="spellStart"/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биотопливе</w:t>
      </w:r>
      <w:proofErr w:type="spellEnd"/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этаноле, геотермальной, гидроэлектрической, солнечной и ветровой промышленности. </w:t>
      </w:r>
      <w:r w:rsidR="00C90295"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 исключением</w:t>
      </w:r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холдинга компаний, которые </w:t>
      </w:r>
      <w:r w:rsidR="00C90295"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вырабатывают </w:t>
      </w:r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энергию с помощью этих средств</w:t>
      </w:r>
      <w:r w:rsidR="004C63C5"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ICLN также имеет компании, которые </w:t>
      </w:r>
      <w:r w:rsidR="00C90295"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производят </w:t>
      </w:r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технологии и оборудование, </w:t>
      </w:r>
      <w:r w:rsidR="00C90295"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эксплуатируемые</w:t>
      </w:r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этом процессе.</w:t>
      </w:r>
    </w:p>
    <w:p w:rsidR="00D738E5" w:rsidRPr="001C3F54" w:rsidRDefault="00D738E5" w:rsidP="001C3F5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</w:pPr>
      <w:r w:rsidRPr="001C3F54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>Фонд ст</w:t>
      </w:r>
      <w:r w:rsidR="00C90295" w:rsidRPr="001C3F54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>ремится</w:t>
      </w:r>
      <w:r w:rsidRPr="001C3F54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 xml:space="preserve"> находить активы с достаточно высокой ликвидностью, чтобы </w:t>
      </w:r>
      <w:r w:rsidR="00C90295" w:rsidRPr="001C3F54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>облегчить</w:t>
      </w:r>
      <w:r w:rsidRPr="001C3F54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 xml:space="preserve"> торговлю. </w:t>
      </w:r>
    </w:p>
    <w:p w:rsidR="00224AF4" w:rsidRPr="001C3F54" w:rsidRDefault="00224AF4" w:rsidP="0046670B">
      <w:pPr>
        <w:spacing w:after="0" w:line="36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1C3F54">
        <w:rPr>
          <w:rFonts w:ascii="Times New Roman" w:hAnsi="Times New Roman" w:cs="Times New Roman"/>
          <w:sz w:val="24"/>
          <w:szCs w:val="24"/>
          <w:u w:val="single"/>
        </w:rPr>
        <w:t>Инвестиционные Фонды</w:t>
      </w:r>
      <w:r w:rsidR="00D738E5" w:rsidRPr="001C3F54">
        <w:rPr>
          <w:rFonts w:ascii="Times New Roman" w:hAnsi="Times New Roman" w:cs="Times New Roman"/>
          <w:sz w:val="24"/>
          <w:szCs w:val="24"/>
          <w:u w:val="single"/>
        </w:rPr>
        <w:t xml:space="preserve"> России:</w:t>
      </w:r>
    </w:p>
    <w:p w:rsidR="00224AF4" w:rsidRPr="001C3F54" w:rsidRDefault="00224AF4" w:rsidP="001C3F54">
      <w:pPr>
        <w:spacing w:after="0" w:line="360" w:lineRule="auto"/>
        <w:ind w:firstLine="567"/>
        <w:contextualSpacing/>
        <w:jc w:val="both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1C3F54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 xml:space="preserve">1.Almaz </w:t>
      </w:r>
      <w:proofErr w:type="spellStart"/>
      <w:r w:rsidRPr="001C3F54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Capital</w:t>
      </w:r>
      <w:proofErr w:type="spellEnd"/>
      <w:r w:rsidRPr="001C3F54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1C3F54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Partners</w:t>
      </w:r>
      <w:proofErr w:type="spellEnd"/>
    </w:p>
    <w:p w:rsidR="00DB7B7A" w:rsidRPr="001C3F54" w:rsidRDefault="00DB7B7A" w:rsidP="001C3F54">
      <w:pPr>
        <w:spacing w:after="0" w:line="360" w:lineRule="auto"/>
        <w:ind w:firstLine="567"/>
        <w:contextualSpacing/>
        <w:jc w:val="both"/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spellStart"/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Almaz</w:t>
      </w:r>
      <w:proofErr w:type="spellEnd"/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Capital</w:t>
      </w:r>
      <w:proofErr w:type="spellEnd"/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90295"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является одним</w:t>
      </w:r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из </w:t>
      </w:r>
      <w:r w:rsidR="00C90295"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лидирующих</w:t>
      </w:r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венчурных фондов,</w:t>
      </w:r>
      <w:r w:rsidR="00C90295"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который</w:t>
      </w:r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инвестирует в </w:t>
      </w:r>
      <w:proofErr w:type="spellStart"/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стартапы</w:t>
      </w:r>
      <w:proofErr w:type="spellEnd"/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зрелые компании, работающие в сферах программного обеспечения, интернета и </w:t>
      </w:r>
      <w:proofErr w:type="spellStart"/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hardware</w:t>
      </w:r>
      <w:proofErr w:type="spellEnd"/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мобильных технологий, медиа и телекоммуникаций.</w:t>
      </w:r>
    </w:p>
    <w:p w:rsidR="00224AF4" w:rsidRPr="001C3F54" w:rsidRDefault="00224AF4" w:rsidP="001C3F54">
      <w:pPr>
        <w:spacing w:after="0" w:line="360" w:lineRule="auto"/>
        <w:ind w:firstLine="567"/>
        <w:contextualSpacing/>
        <w:jc w:val="both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1C3F54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2.ЗАО «АЛОР Инвест»</w:t>
      </w:r>
    </w:p>
    <w:p w:rsidR="0079718A" w:rsidRPr="001C3F54" w:rsidRDefault="0079718A" w:rsidP="001C3F54">
      <w:pPr>
        <w:spacing w:after="0" w:line="360" w:lineRule="auto"/>
        <w:ind w:firstLine="567"/>
        <w:contextualSpacing/>
        <w:jc w:val="both"/>
        <w:rPr>
          <w:rStyle w:val="a8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АЛОР ИНВЕСТ – инвестиционная компания, специализируется на </w:t>
      </w:r>
      <w:r w:rsidR="00C90295"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предоставлении </w:t>
      </w:r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инвестиционно-банковских услуг компаниям малой и средней капитализации. </w:t>
      </w:r>
    </w:p>
    <w:p w:rsidR="00224AF4" w:rsidRPr="001C3F54" w:rsidRDefault="00224AF4" w:rsidP="001C3F54">
      <w:pPr>
        <w:spacing w:after="0" w:line="360" w:lineRule="auto"/>
        <w:ind w:firstLine="567"/>
        <w:contextualSpacing/>
        <w:jc w:val="both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1C3F54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 xml:space="preserve">3.DFJ VTB </w:t>
      </w:r>
      <w:proofErr w:type="spellStart"/>
      <w:r w:rsidRPr="001C3F54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Aurora</w:t>
      </w:r>
      <w:proofErr w:type="spellEnd"/>
    </w:p>
    <w:p w:rsidR="0079718A" w:rsidRPr="001C3F54" w:rsidRDefault="0079718A" w:rsidP="001C3F5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«DFJ-</w:t>
      </w:r>
      <w:proofErr w:type="gramStart"/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VTB« Аврора</w:t>
      </w:r>
      <w:proofErr w:type="gramEnd"/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»- первый международный венчурный проект в России </w:t>
      </w:r>
      <w:r w:rsidR="00C90295"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который организовал работу вместе с </w:t>
      </w:r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корпораци</w:t>
      </w:r>
      <w:r w:rsidR="00C90295"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ей </w:t>
      </w:r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 РОСНАНО ». </w:t>
      </w:r>
    </w:p>
    <w:p w:rsidR="0079718A" w:rsidRPr="001C3F54" w:rsidRDefault="00C90295" w:rsidP="001C3F54">
      <w:pPr>
        <w:spacing w:after="0" w:line="360" w:lineRule="auto"/>
        <w:ind w:firstLine="567"/>
        <w:contextualSpacing/>
        <w:jc w:val="both"/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Фонд представляет собой</w:t>
      </w:r>
      <w:r w:rsidR="0079718A"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— технол</w:t>
      </w:r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огические </w:t>
      </w:r>
      <w:proofErr w:type="spellStart"/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стартапы</w:t>
      </w:r>
      <w:proofErr w:type="spellEnd"/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</w:t>
      </w:r>
      <w:proofErr w:type="spellStart"/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российскимначалом</w:t>
      </w:r>
      <w:proofErr w:type="spellEnd"/>
      <w:r w:rsidR="0079718A"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с перспективой выхода на глобальные рынки. </w:t>
      </w:r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свою очередь</w:t>
      </w:r>
      <w:r w:rsidR="0079718A"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фонд </w:t>
      </w:r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планирует</w:t>
      </w:r>
      <w:r w:rsidR="0079718A"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инвестировать в компании,</w:t>
      </w:r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которые уже профинансированы</w:t>
      </w:r>
      <w:r w:rsidR="0079718A"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западными венчу</w:t>
      </w:r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рными фондами и заинтересованы</w:t>
      </w:r>
      <w:r w:rsidR="0079718A"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выходе на российский рынок. </w:t>
      </w:r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«DFJ-</w:t>
      </w:r>
      <w:proofErr w:type="gramStart"/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VTB« Аврора</w:t>
      </w:r>
      <w:proofErr w:type="gramEnd"/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 </w:t>
      </w:r>
      <w:r w:rsidR="0079718A"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является </w:t>
      </w:r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достаточно значимым этапом</w:t>
      </w:r>
      <w:r w:rsidR="0079718A"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глобальном сотрудничестве в </w:t>
      </w:r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сфере</w:t>
      </w:r>
      <w:r w:rsidR="0079718A"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9718A"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нанотехнологий</w:t>
      </w:r>
      <w:proofErr w:type="spellEnd"/>
      <w:r w:rsidR="0079718A"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224AF4" w:rsidRPr="001C3F54" w:rsidRDefault="00224AF4" w:rsidP="001C3F54">
      <w:pPr>
        <w:spacing w:after="0" w:line="360" w:lineRule="auto"/>
        <w:ind w:firstLine="567"/>
        <w:contextualSpacing/>
        <w:jc w:val="both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1C3F54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4.</w:t>
      </w:r>
      <w:r w:rsidR="00FA0DE3" w:rsidRPr="001C3F54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Инвестиционная компания "</w:t>
      </w:r>
      <w:proofErr w:type="spellStart"/>
      <w:r w:rsidR="00FA0DE3" w:rsidRPr="001C3F54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ru-Net</w:t>
      </w:r>
      <w:proofErr w:type="spellEnd"/>
      <w:r w:rsidR="00FA0DE3" w:rsidRPr="001C3F54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"</w:t>
      </w:r>
    </w:p>
    <w:p w:rsidR="005D398C" w:rsidRPr="001C3F54" w:rsidRDefault="0095123E" w:rsidP="001C3F5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C3F54">
        <w:rPr>
          <w:rFonts w:ascii="Times New Roman" w:hAnsi="Times New Roman" w:cs="Times New Roman"/>
          <w:color w:val="000000" w:themeColor="text1"/>
          <w:sz w:val="24"/>
          <w:szCs w:val="24"/>
        </w:rPr>
        <w:t>ru-Net</w:t>
      </w:r>
      <w:proofErr w:type="spellEnd"/>
      <w:r w:rsidRPr="001C3F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инвестиционная компания, осуществляющая прямые инвестиции и управляющая компаниями и активами.</w:t>
      </w:r>
    </w:p>
    <w:p w:rsidR="00A173F1" w:rsidRPr="001C3F54" w:rsidRDefault="0095123E" w:rsidP="001C3F5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proofErr w:type="spellStart"/>
      <w:r w:rsidRPr="001C3F54">
        <w:rPr>
          <w:rFonts w:ascii="Times New Roman" w:hAnsi="Times New Roman" w:cs="Times New Roman"/>
          <w:color w:val="000000" w:themeColor="text1"/>
          <w:sz w:val="24"/>
          <w:szCs w:val="24"/>
        </w:rPr>
        <w:t>ru-Net</w:t>
      </w:r>
      <w:proofErr w:type="spellEnd"/>
      <w:r w:rsidRPr="001C3F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активно и</w:t>
      </w:r>
      <w:r w:rsidR="00C90295" w:rsidRPr="001C3F54">
        <w:rPr>
          <w:rFonts w:ascii="Times New Roman" w:hAnsi="Times New Roman" w:cs="Times New Roman"/>
          <w:color w:val="000000" w:themeColor="text1"/>
          <w:sz w:val="24"/>
          <w:szCs w:val="24"/>
        </w:rPr>
        <w:t>зучает</w:t>
      </w:r>
      <w:r w:rsidRPr="001C3F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рынок современных зарубежных технологий в области интернет, ИТ и энергетики. </w:t>
      </w:r>
      <w:proofErr w:type="spellStart"/>
      <w:r w:rsidRPr="001C3F54">
        <w:rPr>
          <w:rFonts w:ascii="Times New Roman" w:hAnsi="Times New Roman" w:cs="Times New Roman"/>
          <w:color w:val="000000" w:themeColor="text1"/>
          <w:sz w:val="24"/>
          <w:szCs w:val="24"/>
        </w:rPr>
        <w:t>ru-Net</w:t>
      </w:r>
      <w:proofErr w:type="spellEnd"/>
      <w:r w:rsidRPr="001C3F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инвестирует в компании, </w:t>
      </w:r>
      <w:r w:rsidR="00C90295" w:rsidRPr="001C3F54">
        <w:rPr>
          <w:rFonts w:ascii="Times New Roman" w:hAnsi="Times New Roman" w:cs="Times New Roman"/>
          <w:color w:val="000000" w:themeColor="text1"/>
          <w:sz w:val="24"/>
          <w:szCs w:val="24"/>
        </w:rPr>
        <w:t>которые владеют</w:t>
      </w:r>
      <w:r w:rsidRPr="001C3F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потенциал</w:t>
      </w:r>
      <w:r w:rsidR="00C90295" w:rsidRPr="001C3F54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1C3F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</w:t>
      </w:r>
      <w:r w:rsidR="0066065A" w:rsidRPr="001C3F5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C90295" w:rsidRPr="001C3F54">
        <w:rPr>
          <w:rFonts w:ascii="Times New Roman" w:hAnsi="Times New Roman" w:cs="Times New Roman"/>
          <w:color w:val="000000" w:themeColor="text1"/>
          <w:sz w:val="24"/>
          <w:szCs w:val="24"/>
        </w:rPr>
        <w:t>хватить</w:t>
      </w:r>
      <w:r w:rsidRPr="001C3F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лидирующие позиции в своих сегментах, и </w:t>
      </w:r>
      <w:r w:rsidR="00C90295" w:rsidRPr="001C3F54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направлена</w:t>
      </w:r>
      <w:r w:rsidRPr="001C3F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долгосрочное сотрудничество.</w:t>
      </w:r>
    </w:p>
    <w:p w:rsidR="00E10997" w:rsidRPr="001C3F54" w:rsidRDefault="0095123E" w:rsidP="001C3F5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C3F5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E10997" w:rsidRPr="001C3F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C3F54">
        <w:rPr>
          <w:rFonts w:ascii="Times New Roman" w:hAnsi="Times New Roman" w:cs="Times New Roman"/>
          <w:color w:val="000000" w:themeColor="text1"/>
          <w:sz w:val="24"/>
          <w:szCs w:val="24"/>
        </w:rPr>
        <w:t>SIPO</w:t>
      </w:r>
    </w:p>
    <w:p w:rsidR="005D398C" w:rsidRPr="001C3F54" w:rsidRDefault="00E10997" w:rsidP="001C3F54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 w:themeColor="text1"/>
        </w:rPr>
      </w:pPr>
      <w:r w:rsidRPr="001C3F54">
        <w:rPr>
          <w:color w:val="000000" w:themeColor="text1"/>
        </w:rPr>
        <w:lastRenderedPageBreak/>
        <w:t xml:space="preserve">SIPO - венчурный фонд </w:t>
      </w:r>
      <w:r w:rsidR="00C90295" w:rsidRPr="001C3F54">
        <w:rPr>
          <w:color w:val="000000" w:themeColor="text1"/>
        </w:rPr>
        <w:t>начальных</w:t>
      </w:r>
      <w:r w:rsidRPr="001C3F54">
        <w:rPr>
          <w:color w:val="000000" w:themeColor="text1"/>
        </w:rPr>
        <w:t xml:space="preserve"> инвестиций. </w:t>
      </w:r>
      <w:r w:rsidR="00C90295" w:rsidRPr="001C3F54">
        <w:rPr>
          <w:color w:val="000000" w:themeColor="text1"/>
        </w:rPr>
        <w:t>Инвестиционный фонд</w:t>
      </w:r>
      <w:r w:rsidRPr="001C3F54">
        <w:rPr>
          <w:color w:val="000000" w:themeColor="text1"/>
        </w:rPr>
        <w:t xml:space="preserve"> SIPO</w:t>
      </w:r>
      <w:r w:rsidR="00C90295" w:rsidRPr="001C3F54">
        <w:rPr>
          <w:color w:val="000000" w:themeColor="text1"/>
        </w:rPr>
        <w:t xml:space="preserve"> специализируется </w:t>
      </w:r>
      <w:r w:rsidRPr="001C3F54">
        <w:rPr>
          <w:color w:val="000000" w:themeColor="text1"/>
        </w:rPr>
        <w:t>в</w:t>
      </w:r>
      <w:r w:rsidR="00C90295" w:rsidRPr="001C3F54">
        <w:rPr>
          <w:color w:val="000000" w:themeColor="text1"/>
        </w:rPr>
        <w:t xml:space="preserve"> сфере</w:t>
      </w:r>
      <w:r w:rsidRPr="001C3F54">
        <w:rPr>
          <w:color w:val="000000" w:themeColor="text1"/>
        </w:rPr>
        <w:t xml:space="preserve"> альтернативной энергетики</w:t>
      </w:r>
    </w:p>
    <w:p w:rsidR="00E10997" w:rsidRPr="001C3F54" w:rsidRDefault="0095123E" w:rsidP="001C3F54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</w:pPr>
      <w:r w:rsidRPr="001C3F54">
        <w:t>6</w:t>
      </w:r>
      <w:r w:rsidR="00E10997" w:rsidRPr="001C3F54">
        <w:t>.</w:t>
      </w:r>
      <w:proofErr w:type="spellStart"/>
      <w:r w:rsidR="00E10997" w:rsidRPr="001C3F54">
        <w:rPr>
          <w:lang w:val="en-US"/>
        </w:rPr>
        <w:t>TamirFishmanCiGRussianFund</w:t>
      </w:r>
      <w:proofErr w:type="spellEnd"/>
    </w:p>
    <w:p w:rsidR="00E10997" w:rsidRPr="001C3F54" w:rsidRDefault="00E10997" w:rsidP="001C3F54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</w:pPr>
      <w:proofErr w:type="spellStart"/>
      <w:r w:rsidRPr="001C3F54">
        <w:rPr>
          <w:color w:val="000000" w:themeColor="text1"/>
        </w:rPr>
        <w:t>Tamir</w:t>
      </w:r>
      <w:proofErr w:type="spellEnd"/>
      <w:r w:rsidRPr="001C3F54">
        <w:rPr>
          <w:color w:val="000000" w:themeColor="text1"/>
        </w:rPr>
        <w:t xml:space="preserve"> </w:t>
      </w:r>
      <w:proofErr w:type="spellStart"/>
      <w:r w:rsidRPr="001C3F54">
        <w:rPr>
          <w:color w:val="000000" w:themeColor="text1"/>
        </w:rPr>
        <w:t>Fishman</w:t>
      </w:r>
      <w:proofErr w:type="spellEnd"/>
      <w:r w:rsidRPr="001C3F54">
        <w:rPr>
          <w:color w:val="000000" w:themeColor="text1"/>
        </w:rPr>
        <w:t xml:space="preserve"> </w:t>
      </w:r>
      <w:proofErr w:type="spellStart"/>
      <w:r w:rsidRPr="001C3F54">
        <w:rPr>
          <w:color w:val="000000" w:themeColor="text1"/>
        </w:rPr>
        <w:t>CiG</w:t>
      </w:r>
      <w:proofErr w:type="spellEnd"/>
      <w:r w:rsidRPr="001C3F54">
        <w:rPr>
          <w:color w:val="000000" w:themeColor="text1"/>
        </w:rPr>
        <w:t xml:space="preserve"> </w:t>
      </w:r>
      <w:proofErr w:type="spellStart"/>
      <w:r w:rsidRPr="001C3F54">
        <w:rPr>
          <w:color w:val="000000" w:themeColor="text1"/>
        </w:rPr>
        <w:t>Russian</w:t>
      </w:r>
      <w:proofErr w:type="spellEnd"/>
      <w:r w:rsidRPr="001C3F54">
        <w:rPr>
          <w:color w:val="000000" w:themeColor="text1"/>
        </w:rPr>
        <w:t xml:space="preserve"> </w:t>
      </w:r>
      <w:proofErr w:type="spellStart"/>
      <w:r w:rsidRPr="001C3F54">
        <w:rPr>
          <w:color w:val="000000" w:themeColor="text1"/>
        </w:rPr>
        <w:t>Fund</w:t>
      </w:r>
      <w:proofErr w:type="spellEnd"/>
      <w:r w:rsidRPr="001C3F54">
        <w:rPr>
          <w:color w:val="000000" w:themeColor="text1"/>
        </w:rPr>
        <w:t xml:space="preserve"> (</w:t>
      </w:r>
      <w:proofErr w:type="spellStart"/>
      <w:r w:rsidRPr="001C3F54">
        <w:rPr>
          <w:color w:val="000000" w:themeColor="text1"/>
        </w:rPr>
        <w:t>Тамир</w:t>
      </w:r>
      <w:proofErr w:type="spellEnd"/>
      <w:r w:rsidRPr="001C3F54">
        <w:rPr>
          <w:color w:val="000000" w:themeColor="text1"/>
        </w:rPr>
        <w:t xml:space="preserve"> Фишман Си ай Джи</w:t>
      </w:r>
      <w:r w:rsidR="00C90295" w:rsidRPr="001C3F54">
        <w:rPr>
          <w:color w:val="000000" w:themeColor="text1"/>
        </w:rPr>
        <w:t xml:space="preserve">) - венчурный фонд, который </w:t>
      </w:r>
      <w:r w:rsidRPr="001C3F54">
        <w:rPr>
          <w:color w:val="000000" w:themeColor="text1"/>
        </w:rPr>
        <w:t>инвестирует в высокотехнологичные компании и проекты</w:t>
      </w:r>
      <w:r w:rsidR="00C90295" w:rsidRPr="001C3F54">
        <w:rPr>
          <w:color w:val="000000" w:themeColor="text1"/>
        </w:rPr>
        <w:t xml:space="preserve">, </w:t>
      </w:r>
      <w:proofErr w:type="spellStart"/>
      <w:r w:rsidR="00C90295" w:rsidRPr="001C3F54">
        <w:rPr>
          <w:color w:val="000000" w:themeColor="text1"/>
        </w:rPr>
        <w:t>принадлежащих</w:t>
      </w:r>
      <w:r w:rsidRPr="001C3F54">
        <w:rPr>
          <w:color w:val="000000" w:themeColor="text1"/>
        </w:rPr>
        <w:t>инф</w:t>
      </w:r>
      <w:r w:rsidR="00CB4B98" w:rsidRPr="001C3F54">
        <w:rPr>
          <w:color w:val="000000" w:themeColor="text1"/>
        </w:rPr>
        <w:t>ормационным</w:t>
      </w:r>
      <w:proofErr w:type="spellEnd"/>
      <w:r w:rsidRPr="001C3F54">
        <w:rPr>
          <w:color w:val="000000" w:themeColor="text1"/>
        </w:rPr>
        <w:t xml:space="preserve"> технологи</w:t>
      </w:r>
      <w:r w:rsidR="00CB4B98" w:rsidRPr="001C3F54">
        <w:rPr>
          <w:color w:val="000000" w:themeColor="text1"/>
        </w:rPr>
        <w:t>ям</w:t>
      </w:r>
      <w:r w:rsidRPr="001C3F54">
        <w:rPr>
          <w:color w:val="000000" w:themeColor="text1"/>
        </w:rPr>
        <w:t xml:space="preserve">, </w:t>
      </w:r>
      <w:proofErr w:type="spellStart"/>
      <w:r w:rsidRPr="001C3F54">
        <w:rPr>
          <w:color w:val="000000" w:themeColor="text1"/>
        </w:rPr>
        <w:t>мультимеди</w:t>
      </w:r>
      <w:r w:rsidR="00CB4B98" w:rsidRPr="001C3F54">
        <w:rPr>
          <w:color w:val="000000" w:themeColor="text1"/>
        </w:rPr>
        <w:t>и</w:t>
      </w:r>
      <w:proofErr w:type="spellEnd"/>
      <w:r w:rsidRPr="001C3F54">
        <w:rPr>
          <w:color w:val="000000" w:themeColor="text1"/>
        </w:rPr>
        <w:t xml:space="preserve"> и связ</w:t>
      </w:r>
      <w:r w:rsidR="00CB4B98" w:rsidRPr="001C3F54">
        <w:rPr>
          <w:color w:val="000000" w:themeColor="text1"/>
        </w:rPr>
        <w:t>и</w:t>
      </w:r>
      <w:r w:rsidRPr="001C3F54">
        <w:rPr>
          <w:color w:val="000000" w:themeColor="text1"/>
        </w:rPr>
        <w:t>, энергетик</w:t>
      </w:r>
      <w:r w:rsidR="00CB4B98" w:rsidRPr="001C3F54">
        <w:rPr>
          <w:color w:val="000000" w:themeColor="text1"/>
        </w:rPr>
        <w:t>е</w:t>
      </w:r>
      <w:r w:rsidRPr="001C3F54">
        <w:rPr>
          <w:color w:val="000000" w:themeColor="text1"/>
        </w:rPr>
        <w:t xml:space="preserve"> и энергосбережени</w:t>
      </w:r>
      <w:r w:rsidR="00CB4B98" w:rsidRPr="001C3F54">
        <w:rPr>
          <w:color w:val="000000" w:themeColor="text1"/>
        </w:rPr>
        <w:t>ю, биотехнологии, медицинским технологиям, генной инженерии</w:t>
      </w:r>
      <w:r w:rsidRPr="001C3F54">
        <w:rPr>
          <w:color w:val="000000" w:themeColor="text1"/>
        </w:rPr>
        <w:t xml:space="preserve">, </w:t>
      </w:r>
      <w:r w:rsidR="00CB4B98" w:rsidRPr="001C3F54">
        <w:rPr>
          <w:color w:val="000000" w:themeColor="text1"/>
        </w:rPr>
        <w:t xml:space="preserve">новым материалам и </w:t>
      </w:r>
      <w:proofErr w:type="spellStart"/>
      <w:r w:rsidR="00CB4B98" w:rsidRPr="001C3F54">
        <w:rPr>
          <w:color w:val="000000" w:themeColor="text1"/>
        </w:rPr>
        <w:t>нанотехнологии</w:t>
      </w:r>
      <w:proofErr w:type="spellEnd"/>
      <w:r w:rsidR="00CB4B98" w:rsidRPr="001C3F54">
        <w:rPr>
          <w:color w:val="000000" w:themeColor="text1"/>
        </w:rPr>
        <w:t xml:space="preserve">. </w:t>
      </w:r>
      <w:proofErr w:type="spellStart"/>
      <w:r w:rsidR="00CB4B98" w:rsidRPr="001C3F54">
        <w:rPr>
          <w:lang w:val="en-US"/>
        </w:rPr>
        <w:t>TamirFishmanCiGRussianFund</w:t>
      </w:r>
      <w:proofErr w:type="spellEnd"/>
      <w:r w:rsidR="00CB4B98" w:rsidRPr="001C3F54">
        <w:rPr>
          <w:color w:val="000000" w:themeColor="text1"/>
        </w:rPr>
        <w:t>и</w:t>
      </w:r>
      <w:r w:rsidR="00CB4B98" w:rsidRPr="001C3F54">
        <w:rPr>
          <w:color w:val="000000" w:themeColor="text1"/>
          <w:shd w:val="clear" w:color="auto" w:fill="FFFFFF"/>
        </w:rPr>
        <w:t>нвестирует исключительно</w:t>
      </w:r>
      <w:r w:rsidR="0095123E" w:rsidRPr="001C3F54">
        <w:rPr>
          <w:color w:val="000000" w:themeColor="text1"/>
          <w:shd w:val="clear" w:color="auto" w:fill="FFFFFF"/>
        </w:rPr>
        <w:t xml:space="preserve"> в компании, зарегистрированные на территории РФ.</w:t>
      </w:r>
    </w:p>
    <w:p w:rsidR="00E10997" w:rsidRPr="001C3F54" w:rsidRDefault="0095123E" w:rsidP="001C3F54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</w:pPr>
      <w:r w:rsidRPr="001C3F54">
        <w:t>7</w:t>
      </w:r>
      <w:r w:rsidR="00E10997" w:rsidRPr="001C3F54">
        <w:t>.</w:t>
      </w:r>
      <w:proofErr w:type="spellStart"/>
      <w:r w:rsidR="00E10997" w:rsidRPr="001C3F54">
        <w:rPr>
          <w:lang w:val="en-US"/>
        </w:rPr>
        <w:t>TroikaCapitalPartners</w:t>
      </w:r>
      <w:proofErr w:type="spellEnd"/>
    </w:p>
    <w:p w:rsidR="00E8696B" w:rsidRPr="001C3F54" w:rsidRDefault="00E10997" w:rsidP="001C3F54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 w:themeColor="text1"/>
        </w:rPr>
      </w:pPr>
      <w:proofErr w:type="spellStart"/>
      <w:r w:rsidRPr="001C3F54">
        <w:rPr>
          <w:color w:val="000000" w:themeColor="text1"/>
        </w:rPr>
        <w:t>Troika</w:t>
      </w:r>
      <w:proofErr w:type="spellEnd"/>
      <w:r w:rsidRPr="001C3F54">
        <w:rPr>
          <w:color w:val="000000" w:themeColor="text1"/>
        </w:rPr>
        <w:t xml:space="preserve"> </w:t>
      </w:r>
      <w:proofErr w:type="spellStart"/>
      <w:r w:rsidRPr="001C3F54">
        <w:rPr>
          <w:color w:val="000000" w:themeColor="text1"/>
        </w:rPr>
        <w:t>Capital</w:t>
      </w:r>
      <w:proofErr w:type="spellEnd"/>
      <w:r w:rsidRPr="001C3F54">
        <w:rPr>
          <w:color w:val="000000" w:themeColor="text1"/>
        </w:rPr>
        <w:t xml:space="preserve"> </w:t>
      </w:r>
      <w:proofErr w:type="spellStart"/>
      <w:r w:rsidRPr="001C3F54">
        <w:rPr>
          <w:color w:val="000000" w:themeColor="text1"/>
        </w:rPr>
        <w:t>Partners</w:t>
      </w:r>
      <w:proofErr w:type="spellEnd"/>
      <w:r w:rsidRPr="001C3F54">
        <w:rPr>
          <w:color w:val="000000" w:themeColor="text1"/>
        </w:rPr>
        <w:t xml:space="preserve"> инвестирует рисковый капитал в высокотехноло</w:t>
      </w:r>
      <w:r w:rsidR="00CB4B98" w:rsidRPr="001C3F54">
        <w:rPr>
          <w:color w:val="000000" w:themeColor="text1"/>
        </w:rPr>
        <w:t>гичные компании в рамках альтернативной</w:t>
      </w:r>
      <w:r w:rsidRPr="001C3F54">
        <w:rPr>
          <w:color w:val="000000" w:themeColor="text1"/>
        </w:rPr>
        <w:t xml:space="preserve"> энергетик</w:t>
      </w:r>
      <w:r w:rsidR="00CB4B98" w:rsidRPr="001C3F54">
        <w:rPr>
          <w:color w:val="000000" w:themeColor="text1"/>
        </w:rPr>
        <w:t xml:space="preserve">и, информационных технологиях, новых материалов и </w:t>
      </w:r>
      <w:proofErr w:type="spellStart"/>
      <w:proofErr w:type="gramStart"/>
      <w:r w:rsidR="00CB4B98" w:rsidRPr="001C3F54">
        <w:rPr>
          <w:color w:val="000000" w:themeColor="text1"/>
        </w:rPr>
        <w:t>оптоэлектронике</w:t>
      </w:r>
      <w:r w:rsidRPr="001C3F54">
        <w:rPr>
          <w:color w:val="000000" w:themeColor="text1"/>
        </w:rPr>
        <w:t>.</w:t>
      </w:r>
      <w:r w:rsidR="004C63C5" w:rsidRPr="001C3F54">
        <w:rPr>
          <w:color w:val="000000" w:themeColor="text1"/>
        </w:rPr>
        <w:t>О</w:t>
      </w:r>
      <w:r w:rsidR="0095123E" w:rsidRPr="001C3F54">
        <w:rPr>
          <w:color w:val="000000" w:themeColor="text1"/>
        </w:rPr>
        <w:t>собое</w:t>
      </w:r>
      <w:proofErr w:type="spellEnd"/>
      <w:proofErr w:type="gramEnd"/>
      <w:r w:rsidR="0095123E" w:rsidRPr="001C3F54">
        <w:rPr>
          <w:color w:val="000000" w:themeColor="text1"/>
        </w:rPr>
        <w:t xml:space="preserve"> внимание </w:t>
      </w:r>
      <w:r w:rsidR="00CB4B98" w:rsidRPr="001C3F54">
        <w:rPr>
          <w:color w:val="000000" w:themeColor="text1"/>
        </w:rPr>
        <w:t xml:space="preserve">предпочитает </w:t>
      </w:r>
      <w:r w:rsidR="0095123E" w:rsidRPr="001C3F54">
        <w:rPr>
          <w:color w:val="000000" w:themeColor="text1"/>
        </w:rPr>
        <w:t xml:space="preserve">уделяет более поздним инвестициям, </w:t>
      </w:r>
      <w:r w:rsidR="00CB4B98" w:rsidRPr="001C3F54">
        <w:rPr>
          <w:color w:val="000000" w:themeColor="text1"/>
        </w:rPr>
        <w:t>однако частично анализирует</w:t>
      </w:r>
      <w:r w:rsidR="0095123E" w:rsidRPr="001C3F54">
        <w:rPr>
          <w:color w:val="000000" w:themeColor="text1"/>
        </w:rPr>
        <w:t xml:space="preserve"> </w:t>
      </w:r>
      <w:proofErr w:type="spellStart"/>
      <w:r w:rsidR="0095123E" w:rsidRPr="001C3F54">
        <w:rPr>
          <w:color w:val="000000" w:themeColor="text1"/>
        </w:rPr>
        <w:t>стартапы</w:t>
      </w:r>
      <w:proofErr w:type="spellEnd"/>
      <w:r w:rsidR="0095123E" w:rsidRPr="001C3F54">
        <w:rPr>
          <w:color w:val="000000" w:themeColor="text1"/>
        </w:rPr>
        <w:t>. </w:t>
      </w:r>
      <w:r w:rsidR="00CB4B98" w:rsidRPr="001C3F54">
        <w:rPr>
          <w:color w:val="000000" w:themeColor="text1"/>
        </w:rPr>
        <w:t>Фонд в свою очередь</w:t>
      </w:r>
      <w:r w:rsidR="0095123E" w:rsidRPr="001C3F54">
        <w:rPr>
          <w:color w:val="000000" w:themeColor="text1"/>
        </w:rPr>
        <w:t xml:space="preserve"> может создавать мезонинные инвестиции.</w:t>
      </w:r>
      <w:r w:rsidR="00CB4B98" w:rsidRPr="001C3F54">
        <w:rPr>
          <w:color w:val="000000" w:themeColor="text1"/>
        </w:rPr>
        <w:t xml:space="preserve"> Направления, которые наиболее приоритетны: </w:t>
      </w:r>
      <w:r w:rsidR="00CB4B98" w:rsidRPr="001C3F54">
        <w:t>а</w:t>
      </w:r>
      <w:r w:rsidR="0095123E" w:rsidRPr="001C3F54">
        <w:t>льтернативные виды энергии</w:t>
      </w:r>
      <w:r w:rsidR="00CB4B98" w:rsidRPr="001C3F54">
        <w:rPr>
          <w:color w:val="000000" w:themeColor="text1"/>
        </w:rPr>
        <w:t xml:space="preserve">; </w:t>
      </w:r>
      <w:r w:rsidR="00CB4B98" w:rsidRPr="001C3F54">
        <w:t>п</w:t>
      </w:r>
      <w:r w:rsidR="0095123E" w:rsidRPr="001C3F54">
        <w:t>рограммное обеспечение</w:t>
      </w:r>
      <w:r w:rsidR="00CB4B98" w:rsidRPr="001C3F54">
        <w:t>;</w:t>
      </w:r>
      <w:r w:rsidR="00CB4B98" w:rsidRPr="001C3F54">
        <w:rPr>
          <w:color w:val="000000" w:themeColor="text1"/>
        </w:rPr>
        <w:t xml:space="preserve"> н</w:t>
      </w:r>
      <w:r w:rsidR="0095123E" w:rsidRPr="001C3F54">
        <w:t>овые материалы</w:t>
      </w:r>
      <w:r w:rsidR="00CB4B98" w:rsidRPr="001C3F54">
        <w:t>.</w:t>
      </w:r>
    </w:p>
    <w:p w:rsidR="00B86C83" w:rsidRPr="001C3F54" w:rsidRDefault="007A6433" w:rsidP="0046670B">
      <w:pPr>
        <w:spacing w:after="0" w:line="360" w:lineRule="auto"/>
        <w:ind w:firstLine="567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3F54">
        <w:rPr>
          <w:rFonts w:ascii="Times New Roman" w:hAnsi="Times New Roman" w:cs="Times New Roman"/>
          <w:b/>
          <w:sz w:val="24"/>
          <w:szCs w:val="24"/>
          <w:u w:val="single"/>
        </w:rPr>
        <w:t xml:space="preserve">1.2 </w:t>
      </w:r>
      <w:r w:rsidR="00CE4A4B">
        <w:rPr>
          <w:rFonts w:ascii="Times New Roman" w:hAnsi="Times New Roman" w:cs="Times New Roman"/>
          <w:b/>
          <w:sz w:val="24"/>
          <w:szCs w:val="24"/>
          <w:u w:val="single"/>
        </w:rPr>
        <w:t>Анализ государственного сектора</w:t>
      </w:r>
    </w:p>
    <w:p w:rsidR="007A7289" w:rsidRPr="001C3F54" w:rsidRDefault="007A7289" w:rsidP="001C3F54">
      <w:pPr>
        <w:pStyle w:val="text-splitter-active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</w:rPr>
      </w:pPr>
      <w:r w:rsidRPr="001C3F54">
        <w:rPr>
          <w:color w:val="000000"/>
        </w:rPr>
        <w:t xml:space="preserve">Энергетика </w:t>
      </w:r>
      <w:r w:rsidR="00CB4B98" w:rsidRPr="001C3F54">
        <w:rPr>
          <w:color w:val="000000"/>
        </w:rPr>
        <w:t>занимает центровую позицию</w:t>
      </w:r>
      <w:r w:rsidRPr="001C3F54">
        <w:rPr>
          <w:color w:val="000000"/>
        </w:rPr>
        <w:t xml:space="preserve"> в ресурсном </w:t>
      </w:r>
      <w:r w:rsidR="00CB4B98" w:rsidRPr="001C3F54">
        <w:rPr>
          <w:color w:val="000000"/>
        </w:rPr>
        <w:t>снабжении</w:t>
      </w:r>
      <w:r w:rsidRPr="001C3F54">
        <w:rPr>
          <w:color w:val="000000"/>
        </w:rPr>
        <w:t xml:space="preserve"> экономического развития и </w:t>
      </w:r>
      <w:r w:rsidR="00CB4B98" w:rsidRPr="001C3F54">
        <w:rPr>
          <w:color w:val="000000"/>
        </w:rPr>
        <w:t>увеличении</w:t>
      </w:r>
      <w:r w:rsidRPr="001C3F54">
        <w:rPr>
          <w:color w:val="000000"/>
        </w:rPr>
        <w:t xml:space="preserve"> конкурентоспособности экономики любого государства. </w:t>
      </w:r>
    </w:p>
    <w:p w:rsidR="007A7289" w:rsidRPr="001C3F54" w:rsidRDefault="007A7289" w:rsidP="001C3F54">
      <w:pPr>
        <w:pStyle w:val="text-splitter-active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</w:rPr>
      </w:pPr>
      <w:r w:rsidRPr="001C3F54">
        <w:rPr>
          <w:color w:val="000000"/>
        </w:rPr>
        <w:t xml:space="preserve">Россия, как и большинство богатых ресурсами стран постсоветского пространства, последнее десятилетие </w:t>
      </w:r>
      <w:proofErr w:type="spellStart"/>
      <w:r w:rsidR="00CB4B98" w:rsidRPr="001C3F54">
        <w:rPr>
          <w:color w:val="000000"/>
        </w:rPr>
        <w:t>осуществляеткрупно</w:t>
      </w:r>
      <w:r w:rsidRPr="001C3F54">
        <w:rPr>
          <w:color w:val="000000"/>
        </w:rPr>
        <w:t>масштабные</w:t>
      </w:r>
      <w:proofErr w:type="spellEnd"/>
      <w:r w:rsidRPr="001C3F54">
        <w:rPr>
          <w:color w:val="000000"/>
        </w:rPr>
        <w:t xml:space="preserve"> реформы в </w:t>
      </w:r>
      <w:r w:rsidR="00CB4B98" w:rsidRPr="001C3F54">
        <w:rPr>
          <w:color w:val="000000"/>
        </w:rPr>
        <w:t>области</w:t>
      </w:r>
      <w:r w:rsidRPr="001C3F54">
        <w:rPr>
          <w:color w:val="000000"/>
        </w:rPr>
        <w:t xml:space="preserve"> энергетики. При этом </w:t>
      </w:r>
      <w:r w:rsidR="00CB4B98" w:rsidRPr="001C3F54">
        <w:rPr>
          <w:color w:val="000000"/>
        </w:rPr>
        <w:t>уровень</w:t>
      </w:r>
      <w:r w:rsidRPr="001C3F54">
        <w:rPr>
          <w:color w:val="000000"/>
        </w:rPr>
        <w:t xml:space="preserve"> реформ, несмотря на </w:t>
      </w:r>
      <w:r w:rsidR="00CB4B98" w:rsidRPr="001C3F54">
        <w:rPr>
          <w:color w:val="000000"/>
        </w:rPr>
        <w:t>раскрытие</w:t>
      </w:r>
      <w:r w:rsidRPr="001C3F54">
        <w:rPr>
          <w:color w:val="000000"/>
        </w:rPr>
        <w:t xml:space="preserve"> всё большего количества ограничений и рисков внедрения конкурентной модели в</w:t>
      </w:r>
      <w:r w:rsidR="00CB4B98" w:rsidRPr="001C3F54">
        <w:rPr>
          <w:color w:val="000000"/>
        </w:rPr>
        <w:t xml:space="preserve"> области</w:t>
      </w:r>
      <w:r w:rsidRPr="001C3F54">
        <w:rPr>
          <w:color w:val="000000"/>
        </w:rPr>
        <w:t xml:space="preserve"> энергетики, </w:t>
      </w:r>
      <w:r w:rsidR="00CB4B98" w:rsidRPr="001C3F54">
        <w:rPr>
          <w:color w:val="000000"/>
        </w:rPr>
        <w:t>этому свидетельствуют</w:t>
      </w:r>
      <w:r w:rsidRPr="001C3F54">
        <w:rPr>
          <w:color w:val="000000"/>
        </w:rPr>
        <w:t xml:space="preserve"> страны Запада, достаточно </w:t>
      </w:r>
      <w:r w:rsidR="00CB4B98" w:rsidRPr="001C3F54">
        <w:rPr>
          <w:color w:val="000000"/>
        </w:rPr>
        <w:t>стабильно</w:t>
      </w:r>
      <w:r w:rsidRPr="001C3F54">
        <w:rPr>
          <w:color w:val="000000"/>
        </w:rPr>
        <w:t xml:space="preserve"> на постсоветском пространстве в целом. </w:t>
      </w:r>
    </w:p>
    <w:p w:rsidR="00E8696B" w:rsidRPr="001C3F54" w:rsidRDefault="00E8696B" w:rsidP="001C3F54">
      <w:pPr>
        <w:pStyle w:val="text-splitter-active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 w:themeColor="text1"/>
        </w:rPr>
      </w:pPr>
      <w:r w:rsidRPr="001C3F54">
        <w:rPr>
          <w:color w:val="000000" w:themeColor="text1"/>
        </w:rPr>
        <w:t xml:space="preserve">К числу </w:t>
      </w:r>
      <w:r w:rsidR="00CB4B98" w:rsidRPr="001C3F54">
        <w:rPr>
          <w:color w:val="000000" w:themeColor="text1"/>
        </w:rPr>
        <w:t>существенных элементов</w:t>
      </w:r>
      <w:r w:rsidRPr="001C3F54">
        <w:rPr>
          <w:color w:val="000000" w:themeColor="text1"/>
        </w:rPr>
        <w:t xml:space="preserve"> государственной энергетической политики относятся:</w:t>
      </w:r>
    </w:p>
    <w:p w:rsidR="00E8696B" w:rsidRPr="001C3F54" w:rsidRDefault="00E8696B" w:rsidP="001C3F54">
      <w:pPr>
        <w:pStyle w:val="text-splitter-active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 w:themeColor="text1"/>
        </w:rPr>
      </w:pPr>
      <w:r w:rsidRPr="001C3F54">
        <w:rPr>
          <w:color w:val="000000" w:themeColor="text1"/>
        </w:rPr>
        <w:t>-недропользование и управление государственным фондом недр;</w:t>
      </w:r>
    </w:p>
    <w:p w:rsidR="00E8696B" w:rsidRPr="001C3F54" w:rsidRDefault="00E8696B" w:rsidP="001C3F54">
      <w:pPr>
        <w:pStyle w:val="text-splitter-active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 w:themeColor="text1"/>
        </w:rPr>
      </w:pPr>
      <w:r w:rsidRPr="001C3F54">
        <w:rPr>
          <w:color w:val="000000" w:themeColor="text1"/>
        </w:rPr>
        <w:t>-развитие внутренних энергетических рынков;</w:t>
      </w:r>
    </w:p>
    <w:p w:rsidR="00E8696B" w:rsidRPr="001C3F54" w:rsidRDefault="00E8696B" w:rsidP="001C3F54">
      <w:pPr>
        <w:pStyle w:val="text-splitter-active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 w:themeColor="text1"/>
        </w:rPr>
      </w:pPr>
      <w:r w:rsidRPr="001C3F54">
        <w:rPr>
          <w:color w:val="000000" w:themeColor="text1"/>
        </w:rPr>
        <w:t>-формирование рационального топливно-энергетического баланса;</w:t>
      </w:r>
    </w:p>
    <w:p w:rsidR="00E8696B" w:rsidRPr="001C3F54" w:rsidRDefault="00E8696B" w:rsidP="001C3F54">
      <w:pPr>
        <w:pStyle w:val="text-splitter-active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 w:themeColor="text1"/>
        </w:rPr>
      </w:pPr>
      <w:r w:rsidRPr="001C3F54">
        <w:rPr>
          <w:color w:val="000000" w:themeColor="text1"/>
        </w:rPr>
        <w:t>-региональная энергетическая политика;</w:t>
      </w:r>
    </w:p>
    <w:p w:rsidR="00E8696B" w:rsidRPr="001C3F54" w:rsidRDefault="00E8696B" w:rsidP="001C3F54">
      <w:pPr>
        <w:pStyle w:val="text-splitter-active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 w:themeColor="text1"/>
        </w:rPr>
      </w:pPr>
      <w:r w:rsidRPr="001C3F54">
        <w:rPr>
          <w:color w:val="000000" w:themeColor="text1"/>
        </w:rPr>
        <w:t>-инновационная и научно-техническая политика в энергетике;</w:t>
      </w:r>
    </w:p>
    <w:p w:rsidR="00E8696B" w:rsidRPr="001C3F54" w:rsidRDefault="00E8696B" w:rsidP="001C3F54">
      <w:pPr>
        <w:pStyle w:val="text-splitter-active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 w:themeColor="text1"/>
        </w:rPr>
      </w:pPr>
      <w:r w:rsidRPr="001C3F54">
        <w:rPr>
          <w:color w:val="000000" w:themeColor="text1"/>
        </w:rPr>
        <w:t>-социальная политика в энергетике;</w:t>
      </w:r>
    </w:p>
    <w:p w:rsidR="00E8696B" w:rsidRPr="001C3F54" w:rsidRDefault="00E8696B" w:rsidP="001C3F54">
      <w:pPr>
        <w:pStyle w:val="text-splitter-active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 w:themeColor="text1"/>
        </w:rPr>
      </w:pPr>
      <w:r w:rsidRPr="001C3F54">
        <w:rPr>
          <w:color w:val="000000" w:themeColor="text1"/>
        </w:rPr>
        <w:t>-внешняя энергетическая политика.</w:t>
      </w:r>
    </w:p>
    <w:p w:rsidR="00E8696B" w:rsidRPr="001C3F54" w:rsidRDefault="00E8696B" w:rsidP="001C3F5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Внешними </w:t>
      </w:r>
      <w:r w:rsidR="00CB4B98"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ситуациями</w:t>
      </w:r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для </w:t>
      </w:r>
      <w:r w:rsidR="00CB4B98"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расширения</w:t>
      </w:r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российского энергетического сектора в этот период будут с</w:t>
      </w:r>
      <w:r w:rsidR="00CB4B98"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перва</w:t>
      </w:r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последствия глобального экономического кризиса, а </w:t>
      </w:r>
      <w:r w:rsidR="00CB4B98"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после</w:t>
      </w:r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переход к </w:t>
      </w:r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вероятному посткризисному росту мировой экономики, </w:t>
      </w:r>
      <w:r w:rsidR="00CB4B98"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последствии будет </w:t>
      </w:r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характеризоваться нестабильностью и непредсказуемостью динамики мировых финансовых, фондовых и энергетических рынков. В </w:t>
      </w:r>
      <w:r w:rsidR="0066065A"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таких условиях увеличится</w:t>
      </w:r>
      <w:r w:rsidRPr="001C3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роль государственного участия в развитии российского энергетического сектора.</w:t>
      </w:r>
    </w:p>
    <w:p w:rsidR="007A6433" w:rsidRPr="001C3F54" w:rsidRDefault="007A6433" w:rsidP="0046670B">
      <w:pPr>
        <w:spacing w:after="0" w:line="360" w:lineRule="auto"/>
        <w:ind w:firstLine="567"/>
        <w:contextualSpacing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1C3F5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Россия</w:t>
      </w:r>
    </w:p>
    <w:p w:rsidR="007A6433" w:rsidRPr="001C3F54" w:rsidRDefault="007A6433" w:rsidP="0046670B">
      <w:pPr>
        <w:spacing w:after="0" w:line="360" w:lineRule="auto"/>
        <w:ind w:firstLine="567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 w:rsidRPr="001C3F54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Технологии интеллектуальных </w:t>
      </w:r>
      <w:r w:rsidR="006E1606" w:rsidRPr="001C3F54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энергетических систем «</w:t>
      </w:r>
      <w:proofErr w:type="spellStart"/>
      <w:r w:rsidR="006E1606" w:rsidRPr="001C3F54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SmartGrid</w:t>
      </w:r>
      <w:proofErr w:type="spellEnd"/>
      <w:r w:rsidR="006E1606" w:rsidRPr="001C3F54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»</w:t>
      </w:r>
    </w:p>
    <w:p w:rsidR="00E466AF" w:rsidRPr="00E466AF" w:rsidRDefault="00E466AF" w:rsidP="001C3F5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Концепция “Энергетическая стратегия России на период до 2030 года” предусматривает различные приоритетные направления, к которым относится и </w:t>
      </w:r>
      <w:proofErr w:type="spellStart"/>
      <w:r w:rsidRPr="00E46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Smart</w:t>
      </w:r>
      <w:proofErr w:type="spellEnd"/>
      <w:r w:rsidRPr="00E46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46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Grid</w:t>
      </w:r>
      <w:proofErr w:type="spellEnd"/>
      <w:r w:rsidRPr="00E46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Однако, распространение умной энергетике тормозит слабая законодательная база. Для введения в строй новых научно-технических решений государству следует проработать законодательную и регулирующую структуры в сфере энергетики. Это позволит дать толчок к государственным и негосударственным инвестициям, притокам капитала и квалифицированных кадров.</w:t>
      </w:r>
    </w:p>
    <w:p w:rsidR="00E466AF" w:rsidRPr="00E466AF" w:rsidRDefault="00E466AF" w:rsidP="001C3F5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</w:t>
      </w:r>
      <w:r w:rsidRPr="001C3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46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нужна еще и собственная инновационная отрасль, где создаются новые компании, новая продукция, новые </w:t>
      </w:r>
      <w:proofErr w:type="spellStart"/>
      <w:r w:rsidRPr="00E46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стартапы</w:t>
      </w:r>
      <w:proofErr w:type="spellEnd"/>
      <w:r w:rsidRPr="00E46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набирались бы сил и выходили на глобальные рынки, но берущие начало в России [1]. Эти и другие причины сдерживают развитие “у</w:t>
      </w:r>
      <w:r w:rsidRPr="001C3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мной” электроэнергетики в России</w:t>
      </w:r>
      <w:r w:rsidRPr="00E46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66AF" w:rsidRPr="00E466AF" w:rsidRDefault="00E466AF" w:rsidP="001C3F5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данном этапе в государство осуществляет поддержку, которая поводится в виде </w:t>
      </w:r>
      <w:proofErr w:type="spellStart"/>
      <w:r w:rsidRPr="00E46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E46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координации, организационного сопровождения. Данный проект существует в виде технологической платформы «Интеллектуальная энергетическая система России». Этот инструмент государственной политики позволяет отбирать наиболее перспективные проекты и реализовывать их в качестве пилотных [2].</w:t>
      </w:r>
    </w:p>
    <w:p w:rsidR="007A6433" w:rsidRPr="001C3F54" w:rsidRDefault="006E1606" w:rsidP="0046670B">
      <w:pPr>
        <w:spacing w:after="0" w:line="36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1C3F54">
        <w:rPr>
          <w:rFonts w:ascii="Times New Roman" w:hAnsi="Times New Roman" w:cs="Times New Roman"/>
          <w:sz w:val="24"/>
          <w:szCs w:val="24"/>
          <w:u w:val="single"/>
        </w:rPr>
        <w:t>Распределенная генерация</w:t>
      </w:r>
      <w:bookmarkStart w:id="1" w:name="_am34qhudridx" w:colFirst="0" w:colLast="0"/>
      <w:bookmarkEnd w:id="1"/>
    </w:p>
    <w:p w:rsidR="00E466AF" w:rsidRPr="00E466AF" w:rsidRDefault="00E466AF" w:rsidP="001C3F5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46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Как в случае с </w:t>
      </w:r>
      <w:proofErr w:type="spellStart"/>
      <w:r w:rsidRPr="00E46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Smart</w:t>
      </w:r>
      <w:proofErr w:type="spellEnd"/>
      <w:r w:rsidRPr="00E46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Pr="00E46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Grid</w:t>
      </w:r>
      <w:proofErr w:type="spellEnd"/>
      <w:r w:rsidRPr="00E46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для развития распределенной генерации встал вопрос законодательного обеспечения нового кластера распределенной генерации, основанный на технологиях, использующих </w:t>
      </w:r>
      <w:proofErr w:type="spellStart"/>
      <w:r w:rsidRPr="00E46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когенерацию</w:t>
      </w:r>
      <w:proofErr w:type="spellEnd"/>
      <w:r w:rsidRPr="00E46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а также местных видов топлива, возобновляемых источников энергии.</w:t>
      </w:r>
    </w:p>
    <w:p w:rsidR="00E466AF" w:rsidRPr="00E466AF" w:rsidRDefault="00E466AF" w:rsidP="001C3F5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46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Законодательная часть по развитию малой генерации может быть реализована двумя путями [3]. Первый – за счет внесения правок </w:t>
      </w:r>
      <w:proofErr w:type="gramStart"/>
      <w:r w:rsidRPr="00E46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 Федеральный</w:t>
      </w:r>
      <w:proofErr w:type="gramEnd"/>
      <w:r w:rsidRPr="00E46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закон «Об электроэнергетике», куда следует включить основные понятия, термины и определения, относящийся к данной тематике. Корректировке нуждается Федеральный закон «О теплоснабжении».  Следует добавить разделы, позволяющие определить и описать выработку тепловой энергии на объектах распределенной генерации.</w:t>
      </w:r>
    </w:p>
    <w:p w:rsidR="00E466AF" w:rsidRPr="00E466AF" w:rsidRDefault="00E466AF" w:rsidP="001C3F5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46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 xml:space="preserve">Существует второй путь, который подразумевает принятие нового Федерального закона о малой распределенной энергетике, в котором нужно определить </w:t>
      </w:r>
      <w:proofErr w:type="spellStart"/>
      <w:r w:rsidRPr="00E46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даннную</w:t>
      </w:r>
      <w:proofErr w:type="spellEnd"/>
      <w:r w:rsidRPr="00E46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категорию энергетики</w:t>
      </w:r>
    </w:p>
    <w:p w:rsidR="00E466AF" w:rsidRPr="00E466AF" w:rsidRDefault="00E466AF" w:rsidP="001C3F5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46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Эксперты высказывает общую оценку, что в действующих стратегических документах развитие малой генерации предусмотрено недостаточно [4].</w:t>
      </w:r>
    </w:p>
    <w:p w:rsidR="006E1606" w:rsidRPr="001C3F54" w:rsidRDefault="006E1606" w:rsidP="0046670B">
      <w:pPr>
        <w:spacing w:after="0" w:line="36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1C3F54">
        <w:rPr>
          <w:rFonts w:ascii="Times New Roman" w:hAnsi="Times New Roman" w:cs="Times New Roman"/>
          <w:sz w:val="24"/>
          <w:szCs w:val="24"/>
          <w:u w:val="single"/>
        </w:rPr>
        <w:t>ВИЭ</w:t>
      </w:r>
    </w:p>
    <w:p w:rsidR="00E466AF" w:rsidRPr="00E466AF" w:rsidRDefault="00E466AF" w:rsidP="001C3F5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e9m8am6o3w2" w:colFirst="0" w:colLast="0"/>
      <w:bookmarkEnd w:id="2"/>
      <w:r w:rsidRPr="00E46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данном этапе технологического развития России выработка тепловой и электрической энергии на объектах возобновляемой</w:t>
      </w:r>
      <w:r w:rsidRPr="001C3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энергетики является неконкурен</w:t>
      </w:r>
      <w:r w:rsidRPr="00E46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тной на оптовых рынках, в связи с высокой стоимостью конечной энергии. Правила торговли электрической энергией и мощностью не адаптированы к особым характеристикам функционирования большинства генерирующих объектов ВИЭ [5].</w:t>
      </w:r>
    </w:p>
    <w:p w:rsidR="00E466AF" w:rsidRPr="00E466AF" w:rsidRDefault="00E466AF" w:rsidP="001C3F5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 начала меняться в 2013 году</w:t>
      </w:r>
      <w:proofErr w:type="gramStart"/>
      <w:r w:rsidRPr="00E46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46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были запущены проекты стимулирования выработки энергии на объектах ВИЭ. Такие кейсы финансируются и поддерживаются за счет мер государственного стимулирования. В данном случае это особые механизмы договоров на поставку мощности для </w:t>
      </w:r>
      <w:proofErr w:type="spellStart"/>
      <w:r w:rsidRPr="00E46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энергоисточников</w:t>
      </w:r>
      <w:proofErr w:type="spellEnd"/>
      <w:r w:rsidRPr="00E46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ВИЭ. Однако, данные действия по что носят не системный характер, поэтому реально повлиять на ситуацию сейчас не представляется возможным, в том числе потому что методы стимулирования требуют дополнительного развития и доработки. Реализация проектов ВИЭ на территориях ограничена действующими методами тарифного регулирования – есть необходимость в долгосрочном регулировании тарифов [6].</w:t>
      </w:r>
    </w:p>
    <w:p w:rsidR="006E1606" w:rsidRPr="001C3F54" w:rsidRDefault="006E1606" w:rsidP="0046670B">
      <w:pPr>
        <w:spacing w:after="0" w:line="360" w:lineRule="auto"/>
        <w:ind w:firstLine="567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C3F54">
        <w:rPr>
          <w:rFonts w:ascii="Times New Roman" w:hAnsi="Times New Roman" w:cs="Times New Roman"/>
          <w:b/>
          <w:sz w:val="24"/>
          <w:szCs w:val="24"/>
        </w:rPr>
        <w:t>США</w:t>
      </w:r>
    </w:p>
    <w:p w:rsidR="006E1606" w:rsidRPr="001C3F54" w:rsidRDefault="006E1606" w:rsidP="0046670B">
      <w:pPr>
        <w:spacing w:after="0" w:line="360" w:lineRule="auto"/>
        <w:ind w:firstLine="567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 w:rsidRPr="001C3F54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Технологии интеллектуальных энергетических систем «</w:t>
      </w:r>
      <w:proofErr w:type="spellStart"/>
      <w:r w:rsidRPr="001C3F54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SmartGrid</w:t>
      </w:r>
      <w:proofErr w:type="spellEnd"/>
      <w:r w:rsidRPr="001C3F54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»</w:t>
      </w:r>
    </w:p>
    <w:p w:rsidR="00E466AF" w:rsidRPr="00E466AF" w:rsidRDefault="00E466AF" w:rsidP="001C3F5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46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Поддержка </w:t>
      </w:r>
      <w:proofErr w:type="spellStart"/>
      <w:r w:rsidRPr="00E46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Smart</w:t>
      </w:r>
      <w:proofErr w:type="spellEnd"/>
      <w:r w:rsidRPr="00E46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Pr="00E46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Grid</w:t>
      </w:r>
      <w:proofErr w:type="spellEnd"/>
      <w:r w:rsidRPr="00E46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 Соединенных Штатах началась федеральной политикой с принятием Закона об энергетической независимости и безопасности от 2007 года. Помимо финансирования, новые технологии курируются на уровне профильных министерств, а также национальных и международных институтов [7]. Наблюдается высокая степень готовности технологии </w:t>
      </w:r>
      <w:proofErr w:type="spellStart"/>
      <w:r w:rsidRPr="00E46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Smart</w:t>
      </w:r>
      <w:proofErr w:type="spellEnd"/>
      <w:r w:rsidRPr="00E46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Pr="00E46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Grid</w:t>
      </w:r>
      <w:proofErr w:type="spellEnd"/>
      <w:r w:rsidRPr="00E46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 применению на территории страны, может быть использована в том виде, в котором существует. Основное преимущество США и стран Европы – развитая инфраструктура для возникновения и работы компаний-</w:t>
      </w:r>
      <w:proofErr w:type="spellStart"/>
      <w:r w:rsidRPr="00E46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стартапов</w:t>
      </w:r>
      <w:proofErr w:type="spellEnd"/>
      <w:r w:rsidRPr="00E46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которые в свою очередь и выполняют основную массу разработок для новых технологий [8]. Кроме того, сетевые компании вкладывают значительные средства в разработку систем </w:t>
      </w:r>
      <w:proofErr w:type="spellStart"/>
      <w:r w:rsidRPr="00E46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Smart</w:t>
      </w:r>
      <w:proofErr w:type="spellEnd"/>
      <w:r w:rsidRPr="00E46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Pr="00E46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Grid</w:t>
      </w:r>
      <w:proofErr w:type="spellEnd"/>
      <w:r w:rsidRPr="00E46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для использования конечным потребителем.</w:t>
      </w:r>
    </w:p>
    <w:p w:rsidR="006E1606" w:rsidRPr="001C3F54" w:rsidRDefault="006E1606" w:rsidP="0046670B">
      <w:pPr>
        <w:spacing w:after="0" w:line="36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1C3F54">
        <w:rPr>
          <w:rFonts w:ascii="Times New Roman" w:hAnsi="Times New Roman" w:cs="Times New Roman"/>
          <w:sz w:val="24"/>
          <w:szCs w:val="24"/>
          <w:u w:val="single"/>
        </w:rPr>
        <w:t>Распределенная генерация</w:t>
      </w:r>
    </w:p>
    <w:p w:rsidR="00E466AF" w:rsidRPr="00E466AF" w:rsidRDefault="00E466AF" w:rsidP="001C3F5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bookmarkStart w:id="3" w:name="_gjw8shwul81d" w:colFirst="0" w:colLast="0"/>
      <w:bookmarkEnd w:id="3"/>
      <w:r w:rsidRPr="00E46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 данный момент в развитых странах наблюдается тенденция ухода от централизованной системой энергетики в сторону распределенной генерации.</w:t>
      </w:r>
    </w:p>
    <w:p w:rsidR="00E466AF" w:rsidRPr="00E466AF" w:rsidRDefault="00E466AF" w:rsidP="001C3F5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46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В Соединенных Штатах насчитывается более 12 миллионов единиц распределенной генерации, что составляет примерно одну шестую от мощности существующих в стране централизованных электростанций [9]. Системы распределенной генерации подчиняются различным сочетаниям местных, государственных и федеральных политик, правил и рынков по сравнению с централизованным поколением. Поскольку политика и стимулы широко варьируются от одного места к другому, финансовая привлекательность проекта распределенного поколения также варьируется.</w:t>
      </w:r>
    </w:p>
    <w:p w:rsidR="007A6433" w:rsidRPr="001C3F54" w:rsidRDefault="006E1606" w:rsidP="0046670B">
      <w:pPr>
        <w:spacing w:after="0" w:line="36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1C3F54">
        <w:rPr>
          <w:rFonts w:ascii="Times New Roman" w:hAnsi="Times New Roman" w:cs="Times New Roman"/>
          <w:sz w:val="24"/>
          <w:szCs w:val="24"/>
          <w:u w:val="single"/>
        </w:rPr>
        <w:t>ВИЭ</w:t>
      </w:r>
      <w:bookmarkStart w:id="4" w:name="_kr8aur5mwtkd" w:colFirst="0" w:colLast="0"/>
      <w:bookmarkEnd w:id="4"/>
    </w:p>
    <w:p w:rsidR="00E466AF" w:rsidRPr="00E466AF" w:rsidRDefault="00E466AF" w:rsidP="001C3F5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46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Использование технологий ВИЭ в США составляет 6% от величины всей энергетики. Существует перспектива использования новых технологий, которая положительно оценивается, набирает темпы и популярность. МЭА составляла прогнозы по использованию возобновляемых источников энергии, предполагается, что уровень использования составит 10%.</w:t>
      </w:r>
    </w:p>
    <w:p w:rsidR="00E466AF" w:rsidRPr="00E466AF" w:rsidRDefault="00E466AF" w:rsidP="001C3F5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46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Начало нормативного правового регулирования в области альтернативной энергетики в США было положено с принятием в 1995 г. Федеральной программы «Стратегия устойчивой энергетики США». Было предусмотрено содействие правительством развитию ВЭР с целью перевода энергетики на более независимый, </w:t>
      </w:r>
      <w:proofErr w:type="spellStart"/>
      <w:r w:rsidRPr="00E46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экологичный</w:t>
      </w:r>
      <w:proofErr w:type="spellEnd"/>
      <w:r w:rsidRPr="00E46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способ развития.</w:t>
      </w:r>
    </w:p>
    <w:p w:rsidR="00E466AF" w:rsidRPr="00E466AF" w:rsidRDefault="00E466AF" w:rsidP="001C3F5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46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Кроме того, был принят закон «Об энергетической политике», который устанавливает приоритет возобновляемым источникам энергии и вопросам энергетической эффективности, вводит значительные налоговые льготы для поощрения мер в области энергосбережения [10].</w:t>
      </w:r>
    </w:p>
    <w:p w:rsidR="006E1606" w:rsidRPr="001C3F54" w:rsidRDefault="006E1606" w:rsidP="0046670B">
      <w:pPr>
        <w:spacing w:after="0" w:line="360" w:lineRule="auto"/>
        <w:ind w:firstLine="567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C3F54">
        <w:rPr>
          <w:rFonts w:ascii="Times New Roman" w:hAnsi="Times New Roman" w:cs="Times New Roman"/>
          <w:b/>
          <w:sz w:val="24"/>
          <w:szCs w:val="24"/>
        </w:rPr>
        <w:t>ЕС</w:t>
      </w:r>
    </w:p>
    <w:p w:rsidR="007A6433" w:rsidRPr="001C3F54" w:rsidRDefault="006E1606" w:rsidP="0046670B">
      <w:pPr>
        <w:spacing w:after="0" w:line="360" w:lineRule="auto"/>
        <w:ind w:firstLine="567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 w:rsidRPr="001C3F54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Технологии интеллектуальных энергетических систем «</w:t>
      </w:r>
      <w:proofErr w:type="spellStart"/>
      <w:r w:rsidRPr="001C3F54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SmartGrid</w:t>
      </w:r>
      <w:proofErr w:type="spellEnd"/>
      <w:r w:rsidRPr="001C3F54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»</w:t>
      </w:r>
      <w:bookmarkStart w:id="5" w:name="_d5inc390dfl6" w:colFirst="0" w:colLast="0"/>
      <w:bookmarkEnd w:id="5"/>
    </w:p>
    <w:p w:rsidR="00E466AF" w:rsidRPr="00E466AF" w:rsidRDefault="00E466AF" w:rsidP="001C3F5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46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Вопрос обеспечения стран Европы сетями нового поколения - </w:t>
      </w:r>
      <w:proofErr w:type="spellStart"/>
      <w:r w:rsidRPr="00E46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Smart</w:t>
      </w:r>
      <w:proofErr w:type="spellEnd"/>
      <w:r w:rsidRPr="00E46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Pr="00E46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Grid</w:t>
      </w:r>
      <w:proofErr w:type="spellEnd"/>
      <w:r w:rsidRPr="00E46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остается открытым, так как данная технология позволяет качественно, </w:t>
      </w:r>
      <w:proofErr w:type="spellStart"/>
      <w:r w:rsidRPr="00E46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экологично</w:t>
      </w:r>
      <w:proofErr w:type="spellEnd"/>
      <w:r w:rsidRPr="00E46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надежно обеспечить потребителей электроэнергией. </w:t>
      </w:r>
    </w:p>
    <w:p w:rsidR="00E466AF" w:rsidRPr="00E466AF" w:rsidRDefault="00E466AF" w:rsidP="001C3F5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46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Широкое развитие технологий </w:t>
      </w:r>
      <w:proofErr w:type="spellStart"/>
      <w:r w:rsidRPr="00E46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Smart</w:t>
      </w:r>
      <w:proofErr w:type="spellEnd"/>
      <w:r w:rsidRPr="00E46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Pr="00E46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Grid</w:t>
      </w:r>
      <w:proofErr w:type="spellEnd"/>
      <w:r w:rsidRPr="00E46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тормозит неопределенность в финансировании проектов, беспокойство в части защиты личных данных потребителей, пробелы в обеспечении регулирования отрасли и стандартизации применяемых технологий и, наконец, отсутствие мотивации у конечных потребителей, в первую очередь, так называемых домохозяйств [10].</w:t>
      </w:r>
    </w:p>
    <w:p w:rsidR="00E466AF" w:rsidRPr="00E466AF" w:rsidRDefault="00E466AF" w:rsidP="001C3F5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46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Тем не менее, наблюдается последовательный рост новых технологии.</w:t>
      </w:r>
    </w:p>
    <w:p w:rsidR="007A6433" w:rsidRPr="001C3F54" w:rsidRDefault="006E1606" w:rsidP="0046670B">
      <w:pPr>
        <w:spacing w:after="0" w:line="36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1C3F54">
        <w:rPr>
          <w:rFonts w:ascii="Times New Roman" w:hAnsi="Times New Roman" w:cs="Times New Roman"/>
          <w:sz w:val="24"/>
          <w:szCs w:val="24"/>
          <w:u w:val="single"/>
        </w:rPr>
        <w:t>Распределенная генерация</w:t>
      </w:r>
    </w:p>
    <w:p w:rsidR="00E466AF" w:rsidRPr="00E466AF" w:rsidRDefault="00E466AF" w:rsidP="001C3F5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jjaqsls85e7a" w:colFirst="0" w:colLast="0"/>
      <w:bookmarkEnd w:id="6"/>
      <w:r w:rsidRPr="00E46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Авторы исследования [11] приходят к заключению, что многие участники отрасли ожидают, что в период до 2030 года существующие модели электроэнергетической деятельности на их рынке трансформируются или даже станут неузнаваемыми. Рост распределенной генерации и вытекающая из этого угроза для модели функционирования электроэнергетических предприятий зависят от таких факторов, как издержки и технический прогресс.</w:t>
      </w:r>
    </w:p>
    <w:p w:rsidR="00E466AF" w:rsidRPr="00E466AF" w:rsidRDefault="00E466AF" w:rsidP="001C3F5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субсидии позволяют развиваться распределенной генерации.</w:t>
      </w:r>
    </w:p>
    <w:p w:rsidR="007A6433" w:rsidRPr="001C3F54" w:rsidRDefault="006E1606" w:rsidP="0046670B">
      <w:pPr>
        <w:spacing w:after="0" w:line="36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1C3F54">
        <w:rPr>
          <w:rFonts w:ascii="Times New Roman" w:hAnsi="Times New Roman" w:cs="Times New Roman"/>
          <w:sz w:val="24"/>
          <w:szCs w:val="24"/>
          <w:u w:val="single"/>
        </w:rPr>
        <w:t>ВИЭ</w:t>
      </w:r>
      <w:bookmarkStart w:id="7" w:name="_e0vgx9mspj9" w:colFirst="0" w:colLast="0"/>
      <w:bookmarkEnd w:id="7"/>
    </w:p>
    <w:p w:rsidR="00E466AF" w:rsidRPr="00E466AF" w:rsidRDefault="00E466AF" w:rsidP="001C3F5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46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По мнению [12] ВИЭ является коммерчески неконкурентоспособной, а проекты с ее использованием — неустойчивыми в долгосрочной перспективе. То есть «зеленая» энергия — слишком дорогая по сравнению с традиционной, и развивается она только благодаря государственной поддержке. </w:t>
      </w:r>
    </w:p>
    <w:p w:rsidR="00E466AF" w:rsidRPr="00E466AF" w:rsidRDefault="00E466AF" w:rsidP="001C3F5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46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Германия стремиться поддерживать проекты по «зеленой» </w:t>
      </w:r>
      <w:proofErr w:type="spellStart"/>
      <w:r w:rsidRPr="00E46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энрегетике</w:t>
      </w:r>
      <w:proofErr w:type="spellEnd"/>
      <w:r w:rsidRPr="00E46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Закон о возобновляемых источниках энергии (</w:t>
      </w:r>
      <w:proofErr w:type="spellStart"/>
      <w:r w:rsidRPr="00E46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DasErneuerbare-Energien-Gesetz</w:t>
      </w:r>
      <w:proofErr w:type="spellEnd"/>
      <w:r w:rsidRPr="00E46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или EEG) (вступил в силу в 2000 году) предусматривал систему мер для развития ВИЭ. Главным элементом Закона о возобновляемых источниках энергии являлось обязательство </w:t>
      </w:r>
      <w:proofErr w:type="spellStart"/>
      <w:r w:rsidRPr="00E46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энергоснабжающих</w:t>
      </w:r>
      <w:proofErr w:type="spellEnd"/>
      <w:r w:rsidRPr="00E46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коммунальных предприятий на покупку возобновляемой энергии по установленным тарифам в течение 20 лет. В 2002 году правительство опубликовало документ о стратегии по оффшорной ветроэнергетике, что ознаменовало начало развития национального сектора оффшорной ветроэнергетики. Цель данной стратегии заключалась в установлении крупномасштабных оффшорных ветроэнергетических мощностей в море.</w:t>
      </w:r>
    </w:p>
    <w:p w:rsidR="007A6433" w:rsidRPr="007A7289" w:rsidRDefault="007A6433" w:rsidP="007A7289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</w:rPr>
      </w:pPr>
    </w:p>
    <w:p w:rsidR="00D73CFF" w:rsidRPr="007A7289" w:rsidRDefault="00D73CFF" w:rsidP="007A7289">
      <w:pPr>
        <w:spacing w:after="0" w:line="360" w:lineRule="auto"/>
        <w:contextualSpacing/>
        <w:rPr>
          <w:rFonts w:ascii="Times New Roman" w:hAnsi="Times New Roman" w:cs="Times New Roman"/>
          <w:b/>
          <w:sz w:val="24"/>
        </w:rPr>
      </w:pPr>
    </w:p>
    <w:p w:rsidR="000842B3" w:rsidRDefault="000842B3" w:rsidP="006A38D9">
      <w:pPr>
        <w:spacing w:after="0" w:line="360" w:lineRule="auto"/>
        <w:contextualSpacing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7A7289" w:rsidRDefault="007A7289" w:rsidP="006A38D9">
      <w:pPr>
        <w:spacing w:after="0" w:line="360" w:lineRule="auto"/>
        <w:contextualSpacing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7A7289" w:rsidRDefault="007A7289" w:rsidP="006A38D9">
      <w:pPr>
        <w:spacing w:after="0" w:line="360" w:lineRule="auto"/>
        <w:contextualSpacing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7A7289" w:rsidRDefault="007A7289" w:rsidP="006A38D9">
      <w:pPr>
        <w:spacing w:after="0" w:line="360" w:lineRule="auto"/>
        <w:contextualSpacing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7A7289" w:rsidRDefault="007A7289" w:rsidP="006A38D9">
      <w:pPr>
        <w:spacing w:after="0" w:line="360" w:lineRule="auto"/>
        <w:contextualSpacing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7A7289" w:rsidRDefault="007A7289" w:rsidP="006A38D9">
      <w:pPr>
        <w:spacing w:after="0" w:line="360" w:lineRule="auto"/>
        <w:contextualSpacing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7A7289" w:rsidRDefault="007A7289" w:rsidP="006A38D9">
      <w:pPr>
        <w:spacing w:after="0" w:line="360" w:lineRule="auto"/>
        <w:contextualSpacing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E466AF" w:rsidRDefault="00E466AF" w:rsidP="007A7289">
      <w:pPr>
        <w:spacing w:after="0" w:line="360" w:lineRule="auto"/>
        <w:contextualSpacing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1C3F54" w:rsidRDefault="001C3F54" w:rsidP="007A7289">
      <w:pPr>
        <w:spacing w:after="0" w:line="360" w:lineRule="auto"/>
        <w:contextualSpacing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0842B3" w:rsidRPr="00A173F1" w:rsidRDefault="00E466AF" w:rsidP="0046670B">
      <w:pPr>
        <w:spacing w:after="0" w:line="360" w:lineRule="auto"/>
        <w:ind w:firstLine="567"/>
        <w:contextualSpacing/>
        <w:outlineLvl w:val="0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Список использованной литературы:</w:t>
      </w:r>
    </w:p>
    <w:p w:rsidR="00A173F1" w:rsidRPr="00A173F1" w:rsidRDefault="00A173F1" w:rsidP="001C3F5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173F1">
        <w:rPr>
          <w:rFonts w:ascii="Times New Roman" w:hAnsi="Times New Roman" w:cs="Times New Roman"/>
          <w:sz w:val="24"/>
          <w:szCs w:val="28"/>
        </w:rPr>
        <w:lastRenderedPageBreak/>
        <w:t xml:space="preserve">[1] Галаган А.О. проблемы внедрения </w:t>
      </w:r>
      <w:proofErr w:type="spellStart"/>
      <w:r w:rsidRPr="00A173F1">
        <w:rPr>
          <w:rFonts w:ascii="Times New Roman" w:hAnsi="Times New Roman" w:cs="Times New Roman"/>
          <w:sz w:val="24"/>
          <w:szCs w:val="28"/>
        </w:rPr>
        <w:t>smart</w:t>
      </w:r>
      <w:proofErr w:type="spellEnd"/>
      <w:r w:rsidRPr="00A173F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173F1">
        <w:rPr>
          <w:rFonts w:ascii="Times New Roman" w:hAnsi="Times New Roman" w:cs="Times New Roman"/>
          <w:sz w:val="24"/>
          <w:szCs w:val="28"/>
        </w:rPr>
        <w:t>grid</w:t>
      </w:r>
      <w:proofErr w:type="spellEnd"/>
      <w:r w:rsidRPr="00A173F1">
        <w:rPr>
          <w:rFonts w:ascii="Times New Roman" w:hAnsi="Times New Roman" w:cs="Times New Roman"/>
          <w:sz w:val="24"/>
          <w:szCs w:val="28"/>
        </w:rPr>
        <w:t xml:space="preserve"> в России. материалы конференций ГНИИ "</w:t>
      </w:r>
      <w:proofErr w:type="spellStart"/>
      <w:r w:rsidRPr="00A173F1">
        <w:rPr>
          <w:rFonts w:ascii="Times New Roman" w:hAnsi="Times New Roman" w:cs="Times New Roman"/>
          <w:sz w:val="24"/>
          <w:szCs w:val="28"/>
        </w:rPr>
        <w:t>Нацразвитие</w:t>
      </w:r>
      <w:proofErr w:type="spellEnd"/>
      <w:r w:rsidRPr="00A173F1">
        <w:rPr>
          <w:rFonts w:ascii="Times New Roman" w:hAnsi="Times New Roman" w:cs="Times New Roman"/>
          <w:sz w:val="24"/>
          <w:szCs w:val="28"/>
        </w:rPr>
        <w:t>", 2017</w:t>
      </w:r>
    </w:p>
    <w:p w:rsidR="00A173F1" w:rsidRPr="00A173F1" w:rsidRDefault="00A173F1" w:rsidP="001C3F5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173F1">
        <w:rPr>
          <w:rFonts w:ascii="Times New Roman" w:hAnsi="Times New Roman" w:cs="Times New Roman"/>
          <w:sz w:val="24"/>
          <w:szCs w:val="28"/>
        </w:rPr>
        <w:t>[2] Тараканов А.В. Приоритетные направления совершенствования государственной системы энергообеспечения Москвы. Вестник Российской академии естественных наук,2015.</w:t>
      </w:r>
    </w:p>
    <w:p w:rsidR="00A173F1" w:rsidRPr="00A173F1" w:rsidRDefault="00A173F1" w:rsidP="0046670B">
      <w:pPr>
        <w:spacing w:after="0" w:line="36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A173F1">
        <w:rPr>
          <w:rFonts w:ascii="Times New Roman" w:hAnsi="Times New Roman" w:cs="Times New Roman"/>
          <w:sz w:val="24"/>
          <w:szCs w:val="28"/>
        </w:rPr>
        <w:t xml:space="preserve">[3] </w:t>
      </w:r>
      <w:proofErr w:type="spellStart"/>
      <w:r w:rsidRPr="00A173F1">
        <w:rPr>
          <w:rFonts w:ascii="Times New Roman" w:hAnsi="Times New Roman" w:cs="Times New Roman"/>
          <w:sz w:val="24"/>
          <w:szCs w:val="28"/>
        </w:rPr>
        <w:t>https</w:t>
      </w:r>
      <w:proofErr w:type="spellEnd"/>
      <w:r w:rsidRPr="00A173F1">
        <w:rPr>
          <w:rFonts w:ascii="Times New Roman" w:hAnsi="Times New Roman" w:cs="Times New Roman"/>
          <w:sz w:val="24"/>
          <w:szCs w:val="28"/>
        </w:rPr>
        <w:t>://</w:t>
      </w:r>
      <w:proofErr w:type="spellStart"/>
      <w:r w:rsidRPr="00A173F1">
        <w:rPr>
          <w:rFonts w:ascii="Times New Roman" w:hAnsi="Times New Roman" w:cs="Times New Roman"/>
          <w:sz w:val="24"/>
          <w:szCs w:val="28"/>
        </w:rPr>
        <w:t>www.eprussia.ru</w:t>
      </w:r>
      <w:proofErr w:type="spellEnd"/>
      <w:r w:rsidRPr="00A173F1">
        <w:rPr>
          <w:rFonts w:ascii="Times New Roman" w:hAnsi="Times New Roman" w:cs="Times New Roman"/>
          <w:sz w:val="24"/>
          <w:szCs w:val="28"/>
        </w:rPr>
        <w:t>/</w:t>
      </w:r>
      <w:proofErr w:type="spellStart"/>
      <w:r w:rsidRPr="00A173F1">
        <w:rPr>
          <w:rFonts w:ascii="Times New Roman" w:hAnsi="Times New Roman" w:cs="Times New Roman"/>
          <w:sz w:val="24"/>
          <w:szCs w:val="28"/>
        </w:rPr>
        <w:t>epr</w:t>
      </w:r>
      <w:proofErr w:type="spellEnd"/>
      <w:r w:rsidRPr="00A173F1">
        <w:rPr>
          <w:rFonts w:ascii="Times New Roman" w:hAnsi="Times New Roman" w:cs="Times New Roman"/>
          <w:sz w:val="24"/>
          <w:szCs w:val="28"/>
        </w:rPr>
        <w:t>/217/14807.htm</w:t>
      </w:r>
    </w:p>
    <w:p w:rsidR="00A173F1" w:rsidRPr="00A173F1" w:rsidRDefault="00A173F1" w:rsidP="001C3F5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173F1">
        <w:rPr>
          <w:rFonts w:ascii="Times New Roman" w:hAnsi="Times New Roman" w:cs="Times New Roman"/>
          <w:sz w:val="24"/>
          <w:szCs w:val="28"/>
        </w:rPr>
        <w:t xml:space="preserve">[4] Аналитический доклад «Политика в </w:t>
      </w:r>
      <w:proofErr w:type="gramStart"/>
      <w:r w:rsidRPr="00A173F1">
        <w:rPr>
          <w:rFonts w:ascii="Times New Roman" w:hAnsi="Times New Roman" w:cs="Times New Roman"/>
          <w:sz w:val="24"/>
          <w:szCs w:val="28"/>
        </w:rPr>
        <w:t>области  развития</w:t>
      </w:r>
      <w:proofErr w:type="gramEnd"/>
      <w:r w:rsidRPr="00A173F1">
        <w:rPr>
          <w:rFonts w:ascii="Times New Roman" w:hAnsi="Times New Roman" w:cs="Times New Roman"/>
          <w:sz w:val="24"/>
          <w:szCs w:val="28"/>
        </w:rPr>
        <w:t xml:space="preserve"> возобновляемой энергетики: как разбудить Российского великана» подготовлен Программой IFC по развитию возобновляемых источников энергии в России.</w:t>
      </w:r>
    </w:p>
    <w:p w:rsidR="00A173F1" w:rsidRPr="00A173F1" w:rsidRDefault="00A173F1" w:rsidP="001C3F5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173F1">
        <w:rPr>
          <w:rFonts w:ascii="Times New Roman" w:hAnsi="Times New Roman" w:cs="Times New Roman"/>
          <w:sz w:val="24"/>
          <w:szCs w:val="28"/>
        </w:rPr>
        <w:t>[</w:t>
      </w:r>
      <w:proofErr w:type="gramStart"/>
      <w:r w:rsidRPr="00A173F1">
        <w:rPr>
          <w:rFonts w:ascii="Times New Roman" w:hAnsi="Times New Roman" w:cs="Times New Roman"/>
          <w:sz w:val="24"/>
          <w:szCs w:val="28"/>
        </w:rPr>
        <w:t>5]</w:t>
      </w:r>
      <w:proofErr w:type="spellStart"/>
      <w:r w:rsidRPr="00A173F1">
        <w:rPr>
          <w:rFonts w:ascii="Times New Roman" w:hAnsi="Times New Roman" w:cs="Times New Roman"/>
          <w:sz w:val="24"/>
          <w:szCs w:val="28"/>
        </w:rPr>
        <w:t>Цахаева</w:t>
      </w:r>
      <w:proofErr w:type="spellEnd"/>
      <w:proofErr w:type="gramEnd"/>
      <w:r w:rsidRPr="00A173F1">
        <w:rPr>
          <w:rFonts w:ascii="Times New Roman" w:hAnsi="Times New Roman" w:cs="Times New Roman"/>
          <w:sz w:val="24"/>
          <w:szCs w:val="28"/>
        </w:rPr>
        <w:t xml:space="preserve"> К.Н. анализ эффективности государственной поддержки возобновляемых источников энергии (</w:t>
      </w:r>
      <w:proofErr w:type="spellStart"/>
      <w:r w:rsidRPr="00A173F1">
        <w:rPr>
          <w:rFonts w:ascii="Times New Roman" w:hAnsi="Times New Roman" w:cs="Times New Roman"/>
          <w:sz w:val="24"/>
          <w:szCs w:val="28"/>
        </w:rPr>
        <w:t>виэ</w:t>
      </w:r>
      <w:proofErr w:type="spellEnd"/>
      <w:r w:rsidRPr="00A173F1">
        <w:rPr>
          <w:rFonts w:ascii="Times New Roman" w:hAnsi="Times New Roman" w:cs="Times New Roman"/>
          <w:sz w:val="24"/>
          <w:szCs w:val="28"/>
        </w:rPr>
        <w:t xml:space="preserve">). Управление экономическими системами: </w:t>
      </w:r>
      <w:proofErr w:type="spellStart"/>
      <w:r w:rsidRPr="00A173F1">
        <w:rPr>
          <w:rFonts w:ascii="Times New Roman" w:hAnsi="Times New Roman" w:cs="Times New Roman"/>
          <w:sz w:val="24"/>
          <w:szCs w:val="28"/>
        </w:rPr>
        <w:t>электроннный</w:t>
      </w:r>
      <w:proofErr w:type="spellEnd"/>
      <w:r w:rsidRPr="00A173F1">
        <w:rPr>
          <w:rFonts w:ascii="Times New Roman" w:hAnsi="Times New Roman" w:cs="Times New Roman"/>
          <w:sz w:val="24"/>
          <w:szCs w:val="28"/>
        </w:rPr>
        <w:t xml:space="preserve"> научный журнал, 2015.</w:t>
      </w:r>
    </w:p>
    <w:p w:rsidR="00A173F1" w:rsidRPr="00A173F1" w:rsidRDefault="00A173F1" w:rsidP="0046670B">
      <w:pPr>
        <w:spacing w:after="0" w:line="36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A173F1">
        <w:rPr>
          <w:rFonts w:ascii="Times New Roman" w:hAnsi="Times New Roman" w:cs="Times New Roman"/>
          <w:sz w:val="24"/>
          <w:szCs w:val="28"/>
        </w:rPr>
        <w:t xml:space="preserve">[6] </w:t>
      </w:r>
      <w:proofErr w:type="spellStart"/>
      <w:r w:rsidRPr="00A173F1"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</w:rPr>
        <w:t>https</w:t>
      </w:r>
      <w:proofErr w:type="spellEnd"/>
      <w:r w:rsidRPr="00A173F1"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</w:rPr>
        <w:t>://</w:t>
      </w:r>
      <w:proofErr w:type="spellStart"/>
      <w:r w:rsidRPr="00A173F1"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</w:rPr>
        <w:t>en.wikipedia.org</w:t>
      </w:r>
      <w:proofErr w:type="spellEnd"/>
      <w:r w:rsidRPr="00A173F1"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</w:rPr>
        <w:t>/</w:t>
      </w:r>
      <w:proofErr w:type="spellStart"/>
      <w:r w:rsidRPr="00A173F1"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</w:rPr>
        <w:t>wiki</w:t>
      </w:r>
      <w:proofErr w:type="spellEnd"/>
      <w:r w:rsidRPr="00A173F1"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</w:rPr>
        <w:t>/</w:t>
      </w:r>
      <w:proofErr w:type="spellStart"/>
      <w:r w:rsidRPr="00A173F1"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</w:rPr>
        <w:t>Smart_grid_in_the_United_States</w:t>
      </w:r>
      <w:proofErr w:type="spellEnd"/>
    </w:p>
    <w:p w:rsidR="00A173F1" w:rsidRPr="00A173F1" w:rsidRDefault="00A173F1" w:rsidP="001C3F5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173F1">
        <w:rPr>
          <w:rFonts w:ascii="Times New Roman" w:hAnsi="Times New Roman" w:cs="Times New Roman"/>
          <w:sz w:val="24"/>
          <w:szCs w:val="28"/>
        </w:rPr>
        <w:t xml:space="preserve">[7] </w:t>
      </w:r>
      <w:proofErr w:type="spellStart"/>
      <w:r w:rsidRPr="00A173F1">
        <w:rPr>
          <w:rFonts w:ascii="Times New Roman" w:hAnsi="Times New Roman" w:cs="Times New Roman"/>
          <w:sz w:val="24"/>
          <w:szCs w:val="28"/>
        </w:rPr>
        <w:t>К.В.Суслов</w:t>
      </w:r>
      <w:proofErr w:type="spellEnd"/>
      <w:r w:rsidRPr="00A173F1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A173F1">
        <w:rPr>
          <w:rFonts w:ascii="Times New Roman" w:hAnsi="Times New Roman" w:cs="Times New Roman"/>
          <w:sz w:val="24"/>
          <w:szCs w:val="28"/>
        </w:rPr>
        <w:t>В.Ю.Конюхов</w:t>
      </w:r>
      <w:proofErr w:type="spellEnd"/>
      <w:r w:rsidRPr="00A173F1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A173F1">
        <w:rPr>
          <w:rFonts w:ascii="Times New Roman" w:hAnsi="Times New Roman" w:cs="Times New Roman"/>
          <w:sz w:val="24"/>
          <w:szCs w:val="28"/>
        </w:rPr>
        <w:t>Н.А.Шамарова</w:t>
      </w:r>
      <w:proofErr w:type="spellEnd"/>
      <w:r w:rsidRPr="00A173F1">
        <w:rPr>
          <w:rFonts w:ascii="Times New Roman" w:hAnsi="Times New Roman" w:cs="Times New Roman"/>
          <w:sz w:val="24"/>
          <w:szCs w:val="28"/>
        </w:rPr>
        <w:t xml:space="preserve">. Концептуальные вопросы </w:t>
      </w:r>
      <w:proofErr w:type="spellStart"/>
      <w:r w:rsidRPr="00A173F1">
        <w:rPr>
          <w:rFonts w:ascii="Times New Roman" w:hAnsi="Times New Roman" w:cs="Times New Roman"/>
          <w:sz w:val="24"/>
          <w:szCs w:val="28"/>
        </w:rPr>
        <w:t>smart</w:t>
      </w:r>
      <w:proofErr w:type="spellEnd"/>
      <w:r w:rsidRPr="00A173F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173F1">
        <w:rPr>
          <w:rFonts w:ascii="Times New Roman" w:hAnsi="Times New Roman" w:cs="Times New Roman"/>
          <w:sz w:val="24"/>
          <w:szCs w:val="28"/>
        </w:rPr>
        <w:t>grid</w:t>
      </w:r>
      <w:proofErr w:type="spellEnd"/>
      <w:r w:rsidRPr="00A173F1">
        <w:rPr>
          <w:rFonts w:ascii="Times New Roman" w:hAnsi="Times New Roman" w:cs="Times New Roman"/>
          <w:sz w:val="24"/>
          <w:szCs w:val="28"/>
        </w:rPr>
        <w:t xml:space="preserve"> и проблемы подготовки кадров в условиях инновационного развития энергетики.</w:t>
      </w:r>
    </w:p>
    <w:p w:rsidR="00A173F1" w:rsidRPr="00A173F1" w:rsidRDefault="00A173F1" w:rsidP="001C3F5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173F1">
        <w:rPr>
          <w:rFonts w:ascii="Times New Roman" w:hAnsi="Times New Roman" w:cs="Times New Roman"/>
          <w:sz w:val="24"/>
          <w:szCs w:val="28"/>
        </w:rPr>
        <w:t>[</w:t>
      </w:r>
      <w:proofErr w:type="gramStart"/>
      <w:r w:rsidRPr="00A173F1">
        <w:rPr>
          <w:rFonts w:ascii="Times New Roman" w:hAnsi="Times New Roman" w:cs="Times New Roman"/>
          <w:sz w:val="24"/>
          <w:szCs w:val="28"/>
        </w:rPr>
        <w:t>8]https://www.epa.gov/energy/distributed-generation-electricity-and-its-environmental-impacts#impacts</w:t>
      </w:r>
      <w:proofErr w:type="gramEnd"/>
    </w:p>
    <w:p w:rsidR="00A173F1" w:rsidRPr="00A173F1" w:rsidRDefault="00A173F1" w:rsidP="001C3F5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173F1">
        <w:rPr>
          <w:rFonts w:ascii="Times New Roman" w:hAnsi="Times New Roman" w:cs="Times New Roman"/>
          <w:sz w:val="24"/>
          <w:szCs w:val="28"/>
        </w:rPr>
        <w:t>[</w:t>
      </w:r>
      <w:proofErr w:type="gramStart"/>
      <w:r w:rsidRPr="00A173F1">
        <w:rPr>
          <w:rFonts w:ascii="Times New Roman" w:hAnsi="Times New Roman" w:cs="Times New Roman"/>
          <w:sz w:val="24"/>
          <w:szCs w:val="28"/>
        </w:rPr>
        <w:t>9]</w:t>
      </w:r>
      <w:r w:rsidRPr="00A173F1"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</w:rPr>
        <w:t>https://solex-un.ru/energo/reviews/opyt-ispolzovaniya-vie/obzor-2-opyt-po-stimulirovaniyu-vie</w:t>
      </w:r>
      <w:proofErr w:type="gramEnd"/>
    </w:p>
    <w:p w:rsidR="00A173F1" w:rsidRPr="00A173F1" w:rsidRDefault="00A173F1" w:rsidP="001C3F5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173F1">
        <w:rPr>
          <w:rFonts w:ascii="Times New Roman" w:hAnsi="Times New Roman" w:cs="Times New Roman"/>
          <w:sz w:val="24"/>
          <w:szCs w:val="28"/>
        </w:rPr>
        <w:t xml:space="preserve">[10] </w:t>
      </w:r>
      <w:r w:rsidRPr="00A173F1"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  <w:lang w:val="en-US"/>
        </w:rPr>
        <w:t>http</w:t>
      </w:r>
      <w:r w:rsidRPr="00A173F1"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</w:rPr>
        <w:t>://</w:t>
      </w:r>
      <w:r w:rsidRPr="00A173F1"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  <w:lang w:val="en-US"/>
        </w:rPr>
        <w:t>www</w:t>
      </w:r>
      <w:r w:rsidRPr="00A173F1"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</w:rPr>
        <w:t>.</w:t>
      </w:r>
      <w:proofErr w:type="spellStart"/>
      <w:r w:rsidRPr="00A173F1"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  <w:lang w:val="en-US"/>
        </w:rPr>
        <w:t>sicon</w:t>
      </w:r>
      <w:proofErr w:type="spellEnd"/>
      <w:r w:rsidRPr="00A173F1"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</w:rPr>
        <w:t>.</w:t>
      </w:r>
      <w:proofErr w:type="spellStart"/>
      <w:r w:rsidRPr="00A173F1"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  <w:lang w:val="en-US"/>
        </w:rPr>
        <w:t>ru</w:t>
      </w:r>
      <w:proofErr w:type="spellEnd"/>
      <w:r w:rsidRPr="00A173F1"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</w:rPr>
        <w:t>/</w:t>
      </w:r>
      <w:r w:rsidRPr="00A173F1"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  <w:lang w:val="en-US"/>
        </w:rPr>
        <w:t>about</w:t>
      </w:r>
      <w:r w:rsidRPr="00A173F1"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</w:rPr>
        <w:t>/</w:t>
      </w:r>
      <w:r w:rsidRPr="00A173F1"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  <w:lang w:val="en-US"/>
        </w:rPr>
        <w:t>articles</w:t>
      </w:r>
      <w:r w:rsidRPr="00A173F1"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</w:rPr>
        <w:t>/?</w:t>
      </w:r>
      <w:r w:rsidRPr="00A173F1"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  <w:lang w:val="en-US"/>
        </w:rPr>
        <w:t>base</w:t>
      </w:r>
      <w:r w:rsidRPr="00A173F1"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</w:rPr>
        <w:t>=&amp;</w:t>
      </w:r>
      <w:r w:rsidRPr="00A173F1"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  <w:lang w:val="en-US"/>
        </w:rPr>
        <w:t>news</w:t>
      </w:r>
      <w:r w:rsidRPr="00A173F1"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</w:rPr>
        <w:t>=30</w:t>
      </w:r>
    </w:p>
    <w:p w:rsidR="00A173F1" w:rsidRPr="00A173F1" w:rsidRDefault="00A173F1" w:rsidP="001C3F5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173F1">
        <w:rPr>
          <w:rFonts w:ascii="Times New Roman" w:hAnsi="Times New Roman" w:cs="Times New Roman"/>
          <w:sz w:val="24"/>
          <w:szCs w:val="28"/>
        </w:rPr>
        <w:t xml:space="preserve">[11] </w:t>
      </w:r>
      <w:r w:rsidRPr="00A173F1"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  <w:lang w:val="en-US"/>
        </w:rPr>
        <w:t>https</w:t>
      </w:r>
      <w:r w:rsidRPr="00A173F1"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</w:rPr>
        <w:t>://</w:t>
      </w:r>
      <w:proofErr w:type="spellStart"/>
      <w:r w:rsidRPr="00A173F1"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  <w:lang w:val="en-US"/>
        </w:rPr>
        <w:t>gisee</w:t>
      </w:r>
      <w:proofErr w:type="spellEnd"/>
      <w:r w:rsidRPr="00A173F1"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</w:rPr>
        <w:t>.</w:t>
      </w:r>
      <w:proofErr w:type="spellStart"/>
      <w:r w:rsidRPr="00A173F1"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  <w:lang w:val="en-US"/>
        </w:rPr>
        <w:t>ru</w:t>
      </w:r>
      <w:proofErr w:type="spellEnd"/>
      <w:r w:rsidRPr="00A173F1"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</w:rPr>
        <w:t>/</w:t>
      </w:r>
      <w:r w:rsidRPr="00A173F1"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  <w:lang w:val="en-US"/>
        </w:rPr>
        <w:t>articles</w:t>
      </w:r>
      <w:r w:rsidRPr="00A173F1"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</w:rPr>
        <w:t>/</w:t>
      </w:r>
      <w:r w:rsidRPr="00A173F1"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  <w:lang w:val="en-US"/>
        </w:rPr>
        <w:t>analytics</w:t>
      </w:r>
      <w:r w:rsidRPr="00A173F1"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</w:rPr>
        <w:t>/54294/</w:t>
      </w:r>
    </w:p>
    <w:p w:rsidR="00A173F1" w:rsidRPr="00A173F1" w:rsidRDefault="00A173F1" w:rsidP="001C3F5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173F1">
        <w:rPr>
          <w:rFonts w:ascii="Times New Roman" w:hAnsi="Times New Roman" w:cs="Times New Roman"/>
          <w:sz w:val="24"/>
          <w:szCs w:val="28"/>
        </w:rPr>
        <w:t>[</w:t>
      </w:r>
      <w:proofErr w:type="gramStart"/>
      <w:r w:rsidRPr="00A173F1">
        <w:rPr>
          <w:rFonts w:ascii="Times New Roman" w:hAnsi="Times New Roman" w:cs="Times New Roman"/>
          <w:sz w:val="24"/>
          <w:szCs w:val="28"/>
        </w:rPr>
        <w:t>12]</w:t>
      </w:r>
      <w:r w:rsidRPr="00A173F1"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  <w:lang w:val="en-US"/>
        </w:rPr>
        <w:t>http</w:t>
      </w:r>
      <w:r w:rsidRPr="00A173F1"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</w:rPr>
        <w:t>://</w:t>
      </w:r>
      <w:r w:rsidRPr="00A173F1"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  <w:lang w:val="en-US"/>
        </w:rPr>
        <w:t>www</w:t>
      </w:r>
      <w:r w:rsidRPr="00A173F1"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</w:rPr>
        <w:t>.</w:t>
      </w:r>
      <w:proofErr w:type="spellStart"/>
      <w:r w:rsidRPr="00A173F1"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  <w:lang w:val="en-US"/>
        </w:rPr>
        <w:t>forbes</w:t>
      </w:r>
      <w:proofErr w:type="spellEnd"/>
      <w:r w:rsidRPr="00A173F1"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</w:rPr>
        <w:t>.</w:t>
      </w:r>
      <w:proofErr w:type="spellStart"/>
      <w:r w:rsidRPr="00A173F1"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  <w:lang w:val="en-US"/>
        </w:rPr>
        <w:t>ru</w:t>
      </w:r>
      <w:proofErr w:type="spellEnd"/>
      <w:r w:rsidRPr="00A173F1"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</w:rPr>
        <w:t>/</w:t>
      </w:r>
      <w:proofErr w:type="spellStart"/>
      <w:r w:rsidRPr="00A173F1"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  <w:lang w:val="en-US"/>
        </w:rPr>
        <w:t>biznes</w:t>
      </w:r>
      <w:proofErr w:type="spellEnd"/>
      <w:r w:rsidRPr="00A173F1"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</w:rPr>
        <w:t>/343591-</w:t>
      </w:r>
      <w:proofErr w:type="spellStart"/>
      <w:r w:rsidRPr="00A173F1"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  <w:lang w:val="en-US"/>
        </w:rPr>
        <w:t>vozobnovlyaemye</w:t>
      </w:r>
      <w:proofErr w:type="spellEnd"/>
      <w:r w:rsidRPr="00A173F1"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</w:rPr>
        <w:t>-</w:t>
      </w:r>
      <w:proofErr w:type="spellStart"/>
      <w:r w:rsidRPr="00A173F1"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  <w:lang w:val="en-US"/>
        </w:rPr>
        <w:t>istochniki</w:t>
      </w:r>
      <w:proofErr w:type="spellEnd"/>
      <w:r w:rsidRPr="00A173F1"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</w:rPr>
        <w:t>-</w:t>
      </w:r>
      <w:proofErr w:type="spellStart"/>
      <w:r w:rsidRPr="00A173F1"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  <w:lang w:val="en-US"/>
        </w:rPr>
        <w:t>energii</w:t>
      </w:r>
      <w:proofErr w:type="spellEnd"/>
      <w:r w:rsidRPr="00A173F1"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</w:rPr>
        <w:t>-</w:t>
      </w:r>
      <w:proofErr w:type="spellStart"/>
      <w:r w:rsidRPr="00A173F1"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  <w:lang w:val="en-US"/>
        </w:rPr>
        <w:t>novaya</w:t>
      </w:r>
      <w:proofErr w:type="spellEnd"/>
      <w:r w:rsidRPr="00A173F1"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</w:rPr>
        <w:t>-</w:t>
      </w:r>
      <w:proofErr w:type="spellStart"/>
      <w:r w:rsidRPr="00A173F1"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  <w:lang w:val="en-US"/>
        </w:rPr>
        <w:t>revolyuciya</w:t>
      </w:r>
      <w:proofErr w:type="spellEnd"/>
      <w:r w:rsidRPr="00A173F1"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</w:rPr>
        <w:t>-</w:t>
      </w:r>
      <w:proofErr w:type="spellStart"/>
      <w:r w:rsidRPr="00A173F1"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  <w:lang w:val="en-US"/>
        </w:rPr>
        <w:t>ili</w:t>
      </w:r>
      <w:proofErr w:type="spellEnd"/>
      <w:r w:rsidRPr="00A173F1"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</w:rPr>
        <w:t>-</w:t>
      </w:r>
      <w:proofErr w:type="spellStart"/>
      <w:r w:rsidRPr="00A173F1"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  <w:lang w:val="en-US"/>
        </w:rPr>
        <w:t>ocherednoy</w:t>
      </w:r>
      <w:proofErr w:type="spellEnd"/>
      <w:r w:rsidRPr="00A173F1"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</w:rPr>
        <w:t>-</w:t>
      </w:r>
      <w:proofErr w:type="spellStart"/>
      <w:r w:rsidRPr="00A173F1"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  <w:lang w:val="en-US"/>
        </w:rPr>
        <w:t>puzyr</w:t>
      </w:r>
      <w:proofErr w:type="spellEnd"/>
      <w:proofErr w:type="gramEnd"/>
    </w:p>
    <w:p w:rsidR="00A173F1" w:rsidRPr="00A173F1" w:rsidRDefault="00A173F1" w:rsidP="001C3F5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173F1">
        <w:rPr>
          <w:rFonts w:ascii="Times New Roman" w:hAnsi="Times New Roman" w:cs="Times New Roman"/>
          <w:sz w:val="24"/>
          <w:szCs w:val="28"/>
        </w:rPr>
        <w:t xml:space="preserve">[13] </w:t>
      </w:r>
      <w:proofErr w:type="spellStart"/>
      <w:r w:rsidRPr="00A173F1">
        <w:rPr>
          <w:rFonts w:ascii="Times New Roman" w:hAnsi="Times New Roman" w:cs="Times New Roman"/>
          <w:sz w:val="24"/>
          <w:szCs w:val="28"/>
        </w:rPr>
        <w:t>Назаркулова</w:t>
      </w:r>
      <w:proofErr w:type="spellEnd"/>
      <w:r w:rsidRPr="00A173F1">
        <w:rPr>
          <w:rFonts w:ascii="Times New Roman" w:hAnsi="Times New Roman" w:cs="Times New Roman"/>
          <w:sz w:val="24"/>
          <w:szCs w:val="28"/>
        </w:rPr>
        <w:t xml:space="preserve"> Л.Т. Опыт Германии в сфере </w:t>
      </w:r>
      <w:proofErr w:type="spellStart"/>
      <w:r w:rsidRPr="00A173F1">
        <w:rPr>
          <w:rFonts w:ascii="Times New Roman" w:hAnsi="Times New Roman" w:cs="Times New Roman"/>
          <w:sz w:val="24"/>
          <w:szCs w:val="28"/>
        </w:rPr>
        <w:t>государственно</w:t>
      </w:r>
      <w:r w:rsidRPr="00A173F1">
        <w:rPr>
          <w:rFonts w:ascii="Times New Roman" w:hAnsi="Times New Roman" w:cs="Times New Roman"/>
          <w:sz w:val="24"/>
          <w:szCs w:val="28"/>
        </w:rPr>
        <w:softHyphen/>
        <w:t>правовой</w:t>
      </w:r>
      <w:proofErr w:type="spellEnd"/>
      <w:r w:rsidRPr="00A173F1">
        <w:rPr>
          <w:rFonts w:ascii="Times New Roman" w:hAnsi="Times New Roman" w:cs="Times New Roman"/>
          <w:sz w:val="24"/>
          <w:szCs w:val="28"/>
        </w:rPr>
        <w:t xml:space="preserve"> поддержки развития возобновляемых источников энергии. Вестник </w:t>
      </w:r>
      <w:proofErr w:type="spellStart"/>
      <w:r w:rsidRPr="00A173F1">
        <w:rPr>
          <w:rFonts w:ascii="Times New Roman" w:hAnsi="Times New Roman" w:cs="Times New Roman"/>
          <w:sz w:val="24"/>
          <w:szCs w:val="28"/>
        </w:rPr>
        <w:t>КазНУ</w:t>
      </w:r>
      <w:proofErr w:type="spellEnd"/>
      <w:r w:rsidRPr="00A173F1">
        <w:rPr>
          <w:rFonts w:ascii="Times New Roman" w:hAnsi="Times New Roman" w:cs="Times New Roman"/>
          <w:sz w:val="24"/>
          <w:szCs w:val="28"/>
        </w:rPr>
        <w:t>, 2015.</w:t>
      </w:r>
    </w:p>
    <w:p w:rsidR="000842B3" w:rsidRPr="00A173F1" w:rsidRDefault="00A173F1" w:rsidP="001C3F5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173F1">
        <w:rPr>
          <w:rFonts w:ascii="Times New Roman" w:hAnsi="Times New Roman" w:cs="Times New Roman"/>
          <w:sz w:val="24"/>
          <w:szCs w:val="28"/>
        </w:rPr>
        <w:t>[</w:t>
      </w:r>
      <w:proofErr w:type="gramStart"/>
      <w:r w:rsidRPr="00A173F1">
        <w:rPr>
          <w:rFonts w:ascii="Times New Roman" w:hAnsi="Times New Roman" w:cs="Times New Roman"/>
          <w:sz w:val="24"/>
          <w:szCs w:val="28"/>
        </w:rPr>
        <w:t>14</w:t>
      </w:r>
      <w:r>
        <w:rPr>
          <w:rFonts w:ascii="Times New Roman" w:hAnsi="Times New Roman" w:cs="Times New Roman"/>
          <w:sz w:val="24"/>
          <w:szCs w:val="28"/>
        </w:rPr>
        <w:t>]</w:t>
      </w:r>
      <w:r w:rsidR="000842B3" w:rsidRPr="00A173F1">
        <w:rPr>
          <w:rFonts w:ascii="Times New Roman" w:hAnsi="Times New Roman" w:cs="Times New Roman"/>
          <w:color w:val="000000" w:themeColor="text1"/>
          <w:sz w:val="24"/>
          <w:szCs w:val="28"/>
        </w:rPr>
        <w:t>http://www.mosinnov.ru/verhnee-menyu/poleznye-resursy/fondy-venchurnyh-investitcij.html</w:t>
      </w:r>
      <w:proofErr w:type="gramEnd"/>
    </w:p>
    <w:p w:rsidR="000842B3" w:rsidRPr="00A173F1" w:rsidRDefault="00A173F1" w:rsidP="001C3F54">
      <w:pPr>
        <w:spacing w:after="0" w:line="360" w:lineRule="auto"/>
        <w:ind w:firstLine="567"/>
        <w:contextualSpacing/>
        <w:jc w:val="both"/>
        <w:rPr>
          <w:rStyle w:val="a7"/>
          <w:rFonts w:ascii="Times New Roman" w:hAnsi="Times New Roman" w:cs="Times New Roman"/>
          <w:color w:val="000000" w:themeColor="text1"/>
          <w:sz w:val="24"/>
          <w:szCs w:val="28"/>
        </w:rPr>
      </w:pPr>
      <w:r w:rsidRPr="00A173F1">
        <w:rPr>
          <w:rFonts w:ascii="Times New Roman" w:hAnsi="Times New Roman" w:cs="Times New Roman"/>
          <w:sz w:val="24"/>
          <w:szCs w:val="28"/>
        </w:rPr>
        <w:t xml:space="preserve">[15] </w:t>
      </w:r>
      <w:proofErr w:type="spellStart"/>
      <w:r w:rsidR="000842B3" w:rsidRPr="00A173F1">
        <w:rPr>
          <w:rFonts w:ascii="Times New Roman" w:hAnsi="Times New Roman" w:cs="Times New Roman"/>
          <w:color w:val="000000" w:themeColor="text1"/>
          <w:sz w:val="24"/>
          <w:szCs w:val="28"/>
        </w:rPr>
        <w:t>http</w:t>
      </w:r>
      <w:proofErr w:type="spellEnd"/>
      <w:r w:rsidR="000842B3" w:rsidRPr="00A173F1">
        <w:rPr>
          <w:rFonts w:ascii="Times New Roman" w:hAnsi="Times New Roman" w:cs="Times New Roman"/>
          <w:color w:val="000000" w:themeColor="text1"/>
          <w:sz w:val="24"/>
          <w:szCs w:val="28"/>
        </w:rPr>
        <w:t>://e-</w:t>
      </w:r>
      <w:proofErr w:type="spellStart"/>
      <w:r w:rsidR="000842B3" w:rsidRPr="00A173F1">
        <w:rPr>
          <w:rFonts w:ascii="Times New Roman" w:hAnsi="Times New Roman" w:cs="Times New Roman"/>
          <w:color w:val="000000" w:themeColor="text1"/>
          <w:sz w:val="24"/>
          <w:szCs w:val="28"/>
        </w:rPr>
        <w:t>notabene.ru</w:t>
      </w:r>
      <w:proofErr w:type="spellEnd"/>
      <w:r w:rsidR="000842B3" w:rsidRPr="00A173F1">
        <w:rPr>
          <w:rFonts w:ascii="Times New Roman" w:hAnsi="Times New Roman" w:cs="Times New Roman"/>
          <w:color w:val="000000" w:themeColor="text1"/>
          <w:sz w:val="24"/>
          <w:szCs w:val="28"/>
        </w:rPr>
        <w:t>/</w:t>
      </w:r>
      <w:proofErr w:type="spellStart"/>
      <w:r w:rsidR="000842B3" w:rsidRPr="00A173F1">
        <w:rPr>
          <w:rFonts w:ascii="Times New Roman" w:hAnsi="Times New Roman" w:cs="Times New Roman"/>
          <w:color w:val="000000" w:themeColor="text1"/>
          <w:sz w:val="24"/>
          <w:szCs w:val="28"/>
        </w:rPr>
        <w:t>wl</w:t>
      </w:r>
      <w:proofErr w:type="spellEnd"/>
      <w:r w:rsidR="000842B3" w:rsidRPr="00A173F1">
        <w:rPr>
          <w:rFonts w:ascii="Times New Roman" w:hAnsi="Times New Roman" w:cs="Times New Roman"/>
          <w:color w:val="000000" w:themeColor="text1"/>
          <w:sz w:val="24"/>
          <w:szCs w:val="28"/>
        </w:rPr>
        <w:t>/article_11026.html</w:t>
      </w:r>
    </w:p>
    <w:p w:rsidR="00E8696B" w:rsidRPr="00A173F1" w:rsidRDefault="00A173F1" w:rsidP="001C3F5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173F1">
        <w:rPr>
          <w:rFonts w:ascii="Times New Roman" w:hAnsi="Times New Roman" w:cs="Times New Roman"/>
          <w:sz w:val="24"/>
          <w:szCs w:val="28"/>
        </w:rPr>
        <w:t xml:space="preserve">[16] </w:t>
      </w:r>
      <w:proofErr w:type="spellStart"/>
      <w:r w:rsidR="00E8696B" w:rsidRPr="00A173F1">
        <w:rPr>
          <w:rFonts w:ascii="Times New Roman" w:hAnsi="Times New Roman" w:cs="Times New Roman"/>
          <w:color w:val="000000" w:themeColor="text1"/>
          <w:sz w:val="24"/>
          <w:szCs w:val="28"/>
        </w:rPr>
        <w:t>https</w:t>
      </w:r>
      <w:proofErr w:type="spellEnd"/>
      <w:r w:rsidR="00E8696B" w:rsidRPr="00A173F1">
        <w:rPr>
          <w:rFonts w:ascii="Times New Roman" w:hAnsi="Times New Roman" w:cs="Times New Roman"/>
          <w:color w:val="000000" w:themeColor="text1"/>
          <w:sz w:val="24"/>
          <w:szCs w:val="28"/>
        </w:rPr>
        <w:t>://</w:t>
      </w:r>
      <w:proofErr w:type="spellStart"/>
      <w:r w:rsidR="00E8696B" w:rsidRPr="00A173F1">
        <w:rPr>
          <w:rFonts w:ascii="Times New Roman" w:hAnsi="Times New Roman" w:cs="Times New Roman"/>
          <w:color w:val="000000" w:themeColor="text1"/>
          <w:sz w:val="24"/>
          <w:szCs w:val="28"/>
        </w:rPr>
        <w:t>minenergo.gov.ru</w:t>
      </w:r>
      <w:proofErr w:type="spellEnd"/>
    </w:p>
    <w:p w:rsidR="000842B3" w:rsidRPr="00A173F1" w:rsidRDefault="00A173F1" w:rsidP="001C3F5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173F1">
        <w:rPr>
          <w:rFonts w:ascii="Times New Roman" w:hAnsi="Times New Roman" w:cs="Times New Roman"/>
          <w:sz w:val="24"/>
          <w:szCs w:val="28"/>
        </w:rPr>
        <w:t>[</w:t>
      </w:r>
      <w:proofErr w:type="gramStart"/>
      <w:r w:rsidRPr="00A173F1">
        <w:rPr>
          <w:rFonts w:ascii="Times New Roman" w:hAnsi="Times New Roman" w:cs="Times New Roman"/>
          <w:sz w:val="24"/>
          <w:szCs w:val="28"/>
        </w:rPr>
        <w:t>17</w:t>
      </w:r>
      <w:r>
        <w:rPr>
          <w:rFonts w:ascii="Times New Roman" w:hAnsi="Times New Roman" w:cs="Times New Roman"/>
          <w:sz w:val="24"/>
          <w:szCs w:val="28"/>
        </w:rPr>
        <w:t>]</w:t>
      </w:r>
      <w:r w:rsidR="007A7289" w:rsidRPr="00A173F1">
        <w:rPr>
          <w:rFonts w:ascii="Times New Roman" w:hAnsi="Times New Roman" w:cs="Times New Roman"/>
          <w:sz w:val="24"/>
          <w:szCs w:val="28"/>
        </w:rPr>
        <w:t>https://cyberleninka.ru/article/n/modeli-gosudarstvennoy-energeticheskoy-politiki-v-sovremennom-mire</w:t>
      </w:r>
      <w:proofErr w:type="gramEnd"/>
    </w:p>
    <w:p w:rsidR="007A7289" w:rsidRDefault="007A7289" w:rsidP="007A7289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A7289" w:rsidRPr="007A7289" w:rsidRDefault="007A7289" w:rsidP="007A7289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7A7289" w:rsidRPr="007A7289" w:rsidSect="00CE4A4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9DB" w:rsidRDefault="008619DB" w:rsidP="00F70D7D">
      <w:pPr>
        <w:spacing w:after="0" w:line="240" w:lineRule="auto"/>
      </w:pPr>
      <w:r>
        <w:separator/>
      </w:r>
    </w:p>
  </w:endnote>
  <w:endnote w:type="continuationSeparator" w:id="0">
    <w:p w:rsidR="008619DB" w:rsidRDefault="008619DB" w:rsidP="00F7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8122610"/>
      <w:docPartObj>
        <w:docPartGallery w:val="Page Numbers (Bottom of Page)"/>
        <w:docPartUnique/>
      </w:docPartObj>
    </w:sdtPr>
    <w:sdtEndPr/>
    <w:sdtContent>
      <w:p w:rsidR="00CE4A4B" w:rsidRDefault="008619D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4A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4A4B" w:rsidRDefault="00CE4A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9DB" w:rsidRDefault="008619DB" w:rsidP="00F70D7D">
      <w:pPr>
        <w:spacing w:after="0" w:line="240" w:lineRule="auto"/>
      </w:pPr>
      <w:r>
        <w:separator/>
      </w:r>
    </w:p>
  </w:footnote>
  <w:footnote w:type="continuationSeparator" w:id="0">
    <w:p w:rsidR="008619DB" w:rsidRDefault="008619DB" w:rsidP="00F7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D35D2"/>
    <w:multiLevelType w:val="hybridMultilevel"/>
    <w:tmpl w:val="6C9E6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D7D"/>
    <w:rsid w:val="000842B3"/>
    <w:rsid w:val="000D4C48"/>
    <w:rsid w:val="001B1370"/>
    <w:rsid w:val="001C3F54"/>
    <w:rsid w:val="001F04D4"/>
    <w:rsid w:val="00224AF4"/>
    <w:rsid w:val="003D6B93"/>
    <w:rsid w:val="0046670B"/>
    <w:rsid w:val="004C63C5"/>
    <w:rsid w:val="004D312C"/>
    <w:rsid w:val="005B4560"/>
    <w:rsid w:val="005D398C"/>
    <w:rsid w:val="0066065A"/>
    <w:rsid w:val="006A38D9"/>
    <w:rsid w:val="006E1606"/>
    <w:rsid w:val="00701AED"/>
    <w:rsid w:val="0079718A"/>
    <w:rsid w:val="007A6433"/>
    <w:rsid w:val="007A7289"/>
    <w:rsid w:val="007B5F50"/>
    <w:rsid w:val="008619DB"/>
    <w:rsid w:val="008B1E0F"/>
    <w:rsid w:val="0095123E"/>
    <w:rsid w:val="00966FEC"/>
    <w:rsid w:val="00A14CFD"/>
    <w:rsid w:val="00A173F1"/>
    <w:rsid w:val="00A3038E"/>
    <w:rsid w:val="00B86C83"/>
    <w:rsid w:val="00BE04B4"/>
    <w:rsid w:val="00BF0017"/>
    <w:rsid w:val="00C21360"/>
    <w:rsid w:val="00C71E2D"/>
    <w:rsid w:val="00C90295"/>
    <w:rsid w:val="00CB4B98"/>
    <w:rsid w:val="00CD292D"/>
    <w:rsid w:val="00CD5079"/>
    <w:rsid w:val="00CE4A4B"/>
    <w:rsid w:val="00CF469B"/>
    <w:rsid w:val="00D223F4"/>
    <w:rsid w:val="00D738E5"/>
    <w:rsid w:val="00D73CFF"/>
    <w:rsid w:val="00DB7B7A"/>
    <w:rsid w:val="00E10997"/>
    <w:rsid w:val="00E466AF"/>
    <w:rsid w:val="00E8696B"/>
    <w:rsid w:val="00F70D7D"/>
    <w:rsid w:val="00F87E9B"/>
    <w:rsid w:val="00FA0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4DB72-E7AB-3247-9E80-6E4CBD71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1360"/>
  </w:style>
  <w:style w:type="paragraph" w:styleId="1">
    <w:name w:val="heading 1"/>
    <w:basedOn w:val="a"/>
    <w:next w:val="a"/>
    <w:link w:val="10"/>
    <w:uiPriority w:val="9"/>
    <w:qFormat/>
    <w:rsid w:val="007A64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2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D398C"/>
    <w:pPr>
      <w:spacing w:before="100" w:beforeAutospacing="1" w:after="100" w:afterAutospacing="1" w:line="336" w:lineRule="atLeast"/>
      <w:outlineLvl w:val="2"/>
    </w:pPr>
    <w:rPr>
      <w:rFonts w:ascii="Times New Roman" w:eastAsia="Times New Roman" w:hAnsi="Times New Roman" w:cs="Times New Roman"/>
      <w:color w:val="312214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0D7D"/>
  </w:style>
  <w:style w:type="paragraph" w:styleId="a5">
    <w:name w:val="footer"/>
    <w:basedOn w:val="a"/>
    <w:link w:val="a6"/>
    <w:uiPriority w:val="99"/>
    <w:unhideWhenUsed/>
    <w:rsid w:val="00F70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0D7D"/>
  </w:style>
  <w:style w:type="character" w:styleId="a7">
    <w:name w:val="Hyperlink"/>
    <w:basedOn w:val="a0"/>
    <w:uiPriority w:val="99"/>
    <w:unhideWhenUsed/>
    <w:rsid w:val="00F70D7D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224AF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D398C"/>
    <w:rPr>
      <w:rFonts w:ascii="Times New Roman" w:eastAsia="Times New Roman" w:hAnsi="Times New Roman" w:cs="Times New Roman"/>
      <w:color w:val="312214"/>
      <w:sz w:val="27"/>
      <w:szCs w:val="27"/>
      <w:lang w:eastAsia="ru-RU"/>
    </w:rPr>
  </w:style>
  <w:style w:type="paragraph" w:styleId="a9">
    <w:name w:val="Normal (Web)"/>
    <w:basedOn w:val="a"/>
    <w:uiPriority w:val="99"/>
    <w:unhideWhenUsed/>
    <w:rsid w:val="005D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B4560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D738E5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512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-splitter-active">
    <w:name w:val="text-splitter-active"/>
    <w:basedOn w:val="a"/>
    <w:rsid w:val="00E86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4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4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59661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4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55292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7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1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ACDC1C890C6E4483965D809E1716AD" ma:contentTypeVersion="1" ma:contentTypeDescription="Создание документа." ma:contentTypeScope="" ma:versionID="18444a524edb196a82aa3c2e7fa75f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5C1B44-C39D-427D-B5FA-402FEC323E56}"/>
</file>

<file path=customXml/itemProps2.xml><?xml version="1.0" encoding="utf-8"?>
<ds:datastoreItem xmlns:ds="http://schemas.openxmlformats.org/officeDocument/2006/customXml" ds:itemID="{D59A9B7D-970F-4211-8BB6-E8FE7D885FBB}"/>
</file>

<file path=customXml/itemProps3.xml><?xml version="1.0" encoding="utf-8"?>
<ds:datastoreItem xmlns:ds="http://schemas.openxmlformats.org/officeDocument/2006/customXml" ds:itemID="{B9293D5F-05BB-4959-A0FB-4F64E062A9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2521</Words>
  <Characters>14374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IRAO</Company>
  <LinksUpToDate>false</LinksUpToDate>
  <CharactersWithSpaces>16862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команды "Потенциал" 3 этап РЭН</dc:title>
  <dc:subject/>
  <dc:creator>Давыдова Юлия Андреевна</dc:creator>
  <cp:keywords/>
  <dc:description/>
  <cp:lastModifiedBy>Svetlana Karetskaya</cp:lastModifiedBy>
  <cp:revision>2</cp:revision>
  <dcterms:created xsi:type="dcterms:W3CDTF">2018-08-06T14:21:00Z</dcterms:created>
  <dcterms:modified xsi:type="dcterms:W3CDTF">2018-08-06T14:21:00Z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0x010100C7ACDC1C890C6E4483965D809E1716AD</vt:lpwstr>
  </property>
</Properties>
</file>