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96991" w14:textId="0B7AD149" w:rsidR="00072C57" w:rsidRPr="00183881" w:rsidRDefault="00072C57" w:rsidP="0018388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83881">
        <w:rPr>
          <w:rFonts w:ascii="Arial" w:hAnsi="Arial" w:cs="Arial"/>
          <w:b/>
          <w:sz w:val="28"/>
          <w:szCs w:val="28"/>
        </w:rPr>
        <w:t xml:space="preserve">Оценка пропуска максимальных расходов воды с учётом </w:t>
      </w:r>
      <w:proofErr w:type="spellStart"/>
      <w:r w:rsidRPr="00183881">
        <w:rPr>
          <w:rFonts w:ascii="Arial" w:hAnsi="Arial" w:cs="Arial"/>
          <w:b/>
          <w:sz w:val="28"/>
          <w:szCs w:val="28"/>
        </w:rPr>
        <w:t>негоризонтальности</w:t>
      </w:r>
      <w:proofErr w:type="spellEnd"/>
      <w:r w:rsidRPr="00183881">
        <w:rPr>
          <w:rFonts w:ascii="Arial" w:hAnsi="Arial" w:cs="Arial"/>
          <w:b/>
          <w:sz w:val="28"/>
          <w:szCs w:val="28"/>
        </w:rPr>
        <w:t xml:space="preserve"> зеркала водохранилища </w:t>
      </w:r>
      <w:r w:rsidR="002B47BF" w:rsidRPr="00183881">
        <w:rPr>
          <w:rFonts w:ascii="Arial" w:hAnsi="Arial" w:cs="Arial"/>
          <w:b/>
          <w:sz w:val="28"/>
          <w:szCs w:val="28"/>
        </w:rPr>
        <w:t>и современных норм эксплуатации гидротехнических сооружений</w:t>
      </w:r>
    </w:p>
    <w:p w14:paraId="434D41FD" w14:textId="537CB656" w:rsidR="001440DE" w:rsidRDefault="001440DE" w:rsidP="00144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DE">
        <w:rPr>
          <w:rFonts w:ascii="Times New Roman" w:hAnsi="Times New Roman" w:cs="Times New Roman"/>
          <w:sz w:val="24"/>
          <w:szCs w:val="24"/>
          <w:u w:val="single"/>
        </w:rPr>
        <w:t>Авторы:</w:t>
      </w:r>
      <w:r w:rsidRPr="001440DE">
        <w:rPr>
          <w:rFonts w:ascii="Times New Roman" w:hAnsi="Times New Roman" w:cs="Times New Roman"/>
          <w:sz w:val="24"/>
          <w:szCs w:val="24"/>
        </w:rPr>
        <w:t xml:space="preserve"> </w:t>
      </w:r>
      <w:r w:rsidR="00284487" w:rsidRPr="00284487">
        <w:rPr>
          <w:rFonts w:ascii="Times New Roman" w:hAnsi="Times New Roman" w:cs="Times New Roman"/>
          <w:sz w:val="24"/>
          <w:szCs w:val="24"/>
        </w:rPr>
        <w:t>Борщ А</w:t>
      </w:r>
      <w:r>
        <w:rPr>
          <w:rFonts w:ascii="Times New Roman" w:hAnsi="Times New Roman" w:cs="Times New Roman"/>
          <w:sz w:val="24"/>
          <w:szCs w:val="24"/>
        </w:rPr>
        <w:t>лексей Сергеевич,</w:t>
      </w:r>
      <w:r w:rsidR="00284487" w:rsidRPr="00284487">
        <w:rPr>
          <w:rFonts w:ascii="Times New Roman" w:hAnsi="Times New Roman" w:cs="Times New Roman"/>
          <w:sz w:val="24"/>
          <w:szCs w:val="24"/>
        </w:rPr>
        <w:t xml:space="preserve"> аспирант (АО “Институт </w:t>
      </w:r>
      <w:proofErr w:type="spellStart"/>
      <w:r w:rsidR="00284487" w:rsidRPr="00284487">
        <w:rPr>
          <w:rFonts w:ascii="Times New Roman" w:hAnsi="Times New Roman" w:cs="Times New Roman"/>
          <w:sz w:val="24"/>
          <w:szCs w:val="24"/>
        </w:rPr>
        <w:t>Гидропроект</w:t>
      </w:r>
      <w:proofErr w:type="spellEnd"/>
      <w:r w:rsidR="00284487" w:rsidRPr="00284487">
        <w:rPr>
          <w:rFonts w:ascii="Times New Roman" w:hAnsi="Times New Roman" w:cs="Times New Roman"/>
          <w:sz w:val="24"/>
          <w:szCs w:val="24"/>
        </w:rPr>
        <w:t>”), Александровский А</w:t>
      </w:r>
      <w:r>
        <w:rPr>
          <w:rFonts w:ascii="Times New Roman" w:hAnsi="Times New Roman" w:cs="Times New Roman"/>
          <w:sz w:val="24"/>
          <w:szCs w:val="24"/>
        </w:rPr>
        <w:t>лексей Юрьевич</w:t>
      </w:r>
      <w:r w:rsidR="00284487" w:rsidRPr="00284487">
        <w:rPr>
          <w:rFonts w:ascii="Times New Roman" w:hAnsi="Times New Roman" w:cs="Times New Roman"/>
          <w:sz w:val="24"/>
          <w:szCs w:val="24"/>
        </w:rPr>
        <w:t xml:space="preserve">, доктор </w:t>
      </w:r>
      <w:proofErr w:type="spellStart"/>
      <w:r w:rsidR="00284487" w:rsidRPr="0028448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284487" w:rsidRPr="00284487">
        <w:rPr>
          <w:rFonts w:ascii="Times New Roman" w:hAnsi="Times New Roman" w:cs="Times New Roman"/>
          <w:sz w:val="24"/>
          <w:szCs w:val="24"/>
        </w:rPr>
        <w:t>. наук (Национальный исследовательск</w:t>
      </w:r>
      <w:r>
        <w:rPr>
          <w:rFonts w:ascii="Times New Roman" w:hAnsi="Times New Roman" w:cs="Times New Roman"/>
          <w:sz w:val="24"/>
          <w:szCs w:val="24"/>
        </w:rPr>
        <w:t>ий университет «МЭИ</w:t>
      </w:r>
      <w:r w:rsidR="002B47BF">
        <w:rPr>
          <w:rFonts w:ascii="Times New Roman" w:hAnsi="Times New Roman" w:cs="Times New Roman"/>
          <w:sz w:val="24"/>
          <w:szCs w:val="24"/>
        </w:rPr>
        <w:t>»)</w:t>
      </w:r>
    </w:p>
    <w:p w14:paraId="7DC20E3C" w14:textId="5DD7700E" w:rsidR="001440DE" w:rsidRPr="001440DE" w:rsidRDefault="001440DE" w:rsidP="00EA6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DE">
        <w:rPr>
          <w:rFonts w:ascii="Times New Roman" w:hAnsi="Times New Roman" w:cs="Times New Roman"/>
          <w:sz w:val="24"/>
          <w:szCs w:val="24"/>
          <w:u w:val="single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 xml:space="preserve"> Борщ Алексей Сергеевич, аспирант </w:t>
      </w:r>
      <w:r w:rsidRPr="00284487">
        <w:rPr>
          <w:rFonts w:ascii="Times New Roman" w:hAnsi="Times New Roman" w:cs="Times New Roman"/>
          <w:sz w:val="24"/>
          <w:szCs w:val="24"/>
        </w:rPr>
        <w:t xml:space="preserve">(АО “Институт </w:t>
      </w:r>
      <w:proofErr w:type="spellStart"/>
      <w:r w:rsidRPr="00284487">
        <w:rPr>
          <w:rFonts w:ascii="Times New Roman" w:hAnsi="Times New Roman" w:cs="Times New Roman"/>
          <w:sz w:val="24"/>
          <w:szCs w:val="24"/>
        </w:rPr>
        <w:t>Гидропроект</w:t>
      </w:r>
      <w:proofErr w:type="spellEnd"/>
      <w:r w:rsidRPr="0028448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Style w:val="a4"/>
            <w:rFonts w:ascii="Tahoma" w:hAnsi="Tahoma" w:cs="Tahoma"/>
            <w:color w:val="00A0FF"/>
            <w:sz w:val="18"/>
            <w:szCs w:val="18"/>
            <w:shd w:val="clear" w:color="auto" w:fill="FFFFFF"/>
          </w:rPr>
          <w:t>hydro@hydroproject.ru</w:t>
        </w:r>
      </w:hyperlink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8 (495)727-36-05,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8 (495)741-49-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71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28448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5C93BA0A" w14:textId="77777777" w:rsidR="00072C57" w:rsidRPr="00183881" w:rsidRDefault="00072C57" w:rsidP="005E3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881">
        <w:rPr>
          <w:rFonts w:ascii="Times New Roman" w:hAnsi="Times New Roman" w:cs="Times New Roman"/>
          <w:sz w:val="24"/>
          <w:szCs w:val="24"/>
        </w:rPr>
        <w:t>Одним из важнейших условий безопасности гидроузлов является требование о не превышении регламентированных уровней верхних бьефов гидроузлов</w:t>
      </w:r>
      <w:r w:rsidR="00590BF4" w:rsidRPr="00183881">
        <w:rPr>
          <w:rFonts w:ascii="Times New Roman" w:hAnsi="Times New Roman" w:cs="Times New Roman"/>
          <w:sz w:val="24"/>
          <w:szCs w:val="24"/>
        </w:rPr>
        <w:t xml:space="preserve"> – форсированных подпорных уровней</w:t>
      </w:r>
      <w:r w:rsidRPr="00183881">
        <w:rPr>
          <w:rFonts w:ascii="Times New Roman" w:hAnsi="Times New Roman" w:cs="Times New Roman"/>
          <w:sz w:val="24"/>
          <w:szCs w:val="24"/>
        </w:rPr>
        <w:t xml:space="preserve"> (ФПУ). Пропускная способность</w:t>
      </w:r>
      <w:r w:rsidR="00590BF4" w:rsidRPr="00183881">
        <w:rPr>
          <w:rFonts w:ascii="Times New Roman" w:hAnsi="Times New Roman" w:cs="Times New Roman"/>
          <w:sz w:val="24"/>
          <w:szCs w:val="24"/>
        </w:rPr>
        <w:t xml:space="preserve"> сооружений</w:t>
      </w:r>
      <w:r w:rsidRPr="00183881">
        <w:rPr>
          <w:rFonts w:ascii="Times New Roman" w:hAnsi="Times New Roman" w:cs="Times New Roman"/>
          <w:sz w:val="24"/>
          <w:szCs w:val="24"/>
        </w:rPr>
        <w:t xml:space="preserve"> гидроузлов должна быть достаточной для пропуска максимальных приточных р</w:t>
      </w:r>
      <w:r w:rsidR="00590BF4" w:rsidRPr="00183881">
        <w:rPr>
          <w:rFonts w:ascii="Times New Roman" w:hAnsi="Times New Roman" w:cs="Times New Roman"/>
          <w:sz w:val="24"/>
          <w:szCs w:val="24"/>
        </w:rPr>
        <w:t>асходов воды на этих сооружениях.</w:t>
      </w:r>
    </w:p>
    <w:p w14:paraId="7266E4E3" w14:textId="7C2511CB" w:rsidR="00CD291A" w:rsidRPr="00183881" w:rsidRDefault="00684032" w:rsidP="005E3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881">
        <w:rPr>
          <w:rFonts w:ascii="Times New Roman" w:hAnsi="Times New Roman" w:cs="Times New Roman"/>
          <w:sz w:val="24"/>
          <w:szCs w:val="24"/>
        </w:rPr>
        <w:t>Задача исследований,</w:t>
      </w:r>
      <w:r w:rsidR="00836631">
        <w:rPr>
          <w:rFonts w:ascii="Times New Roman" w:hAnsi="Times New Roman" w:cs="Times New Roman"/>
          <w:sz w:val="24"/>
          <w:szCs w:val="24"/>
        </w:rPr>
        <w:t xml:space="preserve"> проведённых в работе, сводилась</w:t>
      </w:r>
      <w:r w:rsidRPr="00183881">
        <w:rPr>
          <w:rFonts w:ascii="Times New Roman" w:hAnsi="Times New Roman" w:cs="Times New Roman"/>
          <w:sz w:val="24"/>
          <w:szCs w:val="24"/>
        </w:rPr>
        <w:t xml:space="preserve"> к оценке пропуска максимальных расходов воды обеспеченностью </w:t>
      </w:r>
      <w:r w:rsidRPr="0018388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83881">
        <w:rPr>
          <w:rFonts w:ascii="Times New Roman" w:hAnsi="Times New Roman" w:cs="Times New Roman"/>
          <w:sz w:val="24"/>
          <w:szCs w:val="24"/>
        </w:rPr>
        <w:t xml:space="preserve"> = 0,01 % через</w:t>
      </w:r>
      <w:r w:rsidR="00CD291A" w:rsidRPr="00183881">
        <w:rPr>
          <w:rFonts w:ascii="Times New Roman" w:hAnsi="Times New Roman" w:cs="Times New Roman"/>
          <w:sz w:val="24"/>
          <w:szCs w:val="24"/>
        </w:rPr>
        <w:t xml:space="preserve"> сооружения</w:t>
      </w:r>
      <w:r w:rsidRPr="00183881">
        <w:rPr>
          <w:rFonts w:ascii="Times New Roman" w:hAnsi="Times New Roman" w:cs="Times New Roman"/>
          <w:sz w:val="24"/>
          <w:szCs w:val="24"/>
        </w:rPr>
        <w:t xml:space="preserve"> </w:t>
      </w:r>
      <w:r w:rsidR="001440DE" w:rsidRPr="00183881">
        <w:rPr>
          <w:rFonts w:ascii="Times New Roman" w:hAnsi="Times New Roman" w:cs="Times New Roman"/>
          <w:sz w:val="24"/>
          <w:szCs w:val="24"/>
        </w:rPr>
        <w:t xml:space="preserve">девяти крупных </w:t>
      </w:r>
      <w:r w:rsidR="00CD291A" w:rsidRPr="00183881">
        <w:rPr>
          <w:rFonts w:ascii="Times New Roman" w:hAnsi="Times New Roman" w:cs="Times New Roman"/>
          <w:sz w:val="24"/>
          <w:szCs w:val="24"/>
        </w:rPr>
        <w:t xml:space="preserve">гидроузлов Волжско-Камского </w:t>
      </w:r>
      <w:r w:rsidRPr="00183881">
        <w:rPr>
          <w:rFonts w:ascii="Times New Roman" w:hAnsi="Times New Roman" w:cs="Times New Roman"/>
          <w:sz w:val="24"/>
          <w:szCs w:val="24"/>
        </w:rPr>
        <w:t>каскад</w:t>
      </w:r>
      <w:r w:rsidR="001440DE" w:rsidRPr="00183881">
        <w:rPr>
          <w:rFonts w:ascii="Times New Roman" w:hAnsi="Times New Roman" w:cs="Times New Roman"/>
          <w:sz w:val="24"/>
          <w:szCs w:val="24"/>
        </w:rPr>
        <w:t>а</w:t>
      </w:r>
      <w:r w:rsidR="00CD291A" w:rsidRPr="00183881">
        <w:rPr>
          <w:rFonts w:ascii="Times New Roman" w:hAnsi="Times New Roman" w:cs="Times New Roman"/>
          <w:sz w:val="24"/>
          <w:szCs w:val="24"/>
        </w:rPr>
        <w:t xml:space="preserve"> </w:t>
      </w:r>
      <w:r w:rsidR="001440DE" w:rsidRPr="00183881">
        <w:rPr>
          <w:rFonts w:ascii="Times New Roman" w:hAnsi="Times New Roman" w:cs="Times New Roman"/>
          <w:sz w:val="24"/>
          <w:szCs w:val="24"/>
        </w:rPr>
        <w:t>(</w:t>
      </w:r>
      <w:r w:rsidR="00CD291A" w:rsidRPr="00183881">
        <w:rPr>
          <w:rFonts w:ascii="Times New Roman" w:hAnsi="Times New Roman" w:cs="Times New Roman"/>
          <w:sz w:val="24"/>
          <w:szCs w:val="24"/>
        </w:rPr>
        <w:t xml:space="preserve">Рыбинский, Нижегородский, Чебоксарский, Камский, </w:t>
      </w:r>
      <w:proofErr w:type="spellStart"/>
      <w:r w:rsidR="00CD291A" w:rsidRPr="0018388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="00CD291A" w:rsidRPr="00183881">
        <w:rPr>
          <w:rFonts w:ascii="Times New Roman" w:hAnsi="Times New Roman" w:cs="Times New Roman"/>
          <w:sz w:val="24"/>
          <w:szCs w:val="24"/>
        </w:rPr>
        <w:t>, Нижнекамский, Жигулёвский, Саратовский, Волжский)</w:t>
      </w:r>
      <w:r w:rsidRPr="00183881">
        <w:rPr>
          <w:rFonts w:ascii="Times New Roman" w:hAnsi="Times New Roman" w:cs="Times New Roman"/>
          <w:sz w:val="24"/>
          <w:szCs w:val="24"/>
        </w:rPr>
        <w:t xml:space="preserve"> для разных классов основных сооружений на э</w:t>
      </w:r>
      <w:r w:rsidR="00CD291A" w:rsidRPr="00183881">
        <w:rPr>
          <w:rFonts w:ascii="Times New Roman" w:hAnsi="Times New Roman" w:cs="Times New Roman"/>
          <w:sz w:val="24"/>
          <w:szCs w:val="24"/>
        </w:rPr>
        <w:t xml:space="preserve">тих гидроузлах. </w:t>
      </w:r>
      <w:r w:rsidR="009B38C5">
        <w:rPr>
          <w:rFonts w:ascii="Times New Roman" w:hAnsi="Times New Roman" w:cs="Times New Roman"/>
          <w:sz w:val="24"/>
          <w:szCs w:val="24"/>
        </w:rPr>
        <w:t>Ключевыми особенностями</w:t>
      </w:r>
      <w:r w:rsidR="00CD291A" w:rsidRPr="00183881">
        <w:rPr>
          <w:rFonts w:ascii="Times New Roman" w:hAnsi="Times New Roman" w:cs="Times New Roman"/>
          <w:sz w:val="24"/>
          <w:szCs w:val="24"/>
        </w:rPr>
        <w:t xml:space="preserve"> проведённой</w:t>
      </w:r>
      <w:r w:rsidR="009B38C5">
        <w:rPr>
          <w:rFonts w:ascii="Times New Roman" w:hAnsi="Times New Roman" w:cs="Times New Roman"/>
          <w:sz w:val="24"/>
          <w:szCs w:val="24"/>
        </w:rPr>
        <w:t xml:space="preserve"> работы являю</w:t>
      </w:r>
      <w:r w:rsidR="00CD291A" w:rsidRPr="00183881">
        <w:rPr>
          <w:rFonts w:ascii="Times New Roman" w:hAnsi="Times New Roman" w:cs="Times New Roman"/>
          <w:sz w:val="24"/>
          <w:szCs w:val="24"/>
        </w:rPr>
        <w:t>тся использование заданных динамических характеристик объёмов водохранилищ рассматриваемых гидроузлов</w:t>
      </w:r>
      <w:r w:rsidR="009B38C5">
        <w:rPr>
          <w:rFonts w:ascii="Times New Roman" w:hAnsi="Times New Roman" w:cs="Times New Roman"/>
          <w:sz w:val="24"/>
          <w:szCs w:val="24"/>
        </w:rPr>
        <w:t xml:space="preserve">, а также учёт </w:t>
      </w:r>
      <w:r w:rsidR="001D3AFF">
        <w:rPr>
          <w:rFonts w:ascii="Times New Roman" w:hAnsi="Times New Roman" w:cs="Times New Roman"/>
          <w:sz w:val="24"/>
          <w:szCs w:val="24"/>
        </w:rPr>
        <w:t>современных норм эксплуатации сооружений на рассматриваемых гидроузлах</w:t>
      </w:r>
      <w:r w:rsidR="001D3AFF" w:rsidRPr="001D3AFF">
        <w:rPr>
          <w:rFonts w:ascii="Times New Roman" w:hAnsi="Times New Roman" w:cs="Times New Roman"/>
          <w:sz w:val="24"/>
          <w:szCs w:val="24"/>
        </w:rPr>
        <w:t>:</w:t>
      </w:r>
      <w:r w:rsidR="001D3AFF">
        <w:rPr>
          <w:rFonts w:ascii="Times New Roman" w:hAnsi="Times New Roman" w:cs="Times New Roman"/>
          <w:sz w:val="24"/>
          <w:szCs w:val="24"/>
        </w:rPr>
        <w:t xml:space="preserve"> отключение одного или нескольких агрегатов в зависимости от их общего количества согласно               </w:t>
      </w:r>
      <w:r w:rsidR="001D3AFF" w:rsidRPr="001D3AFF">
        <w:rPr>
          <w:rFonts w:ascii="Times New Roman" w:hAnsi="Times New Roman" w:cs="Times New Roman"/>
          <w:sz w:val="24"/>
          <w:szCs w:val="24"/>
        </w:rPr>
        <w:t>СП 58.13330.2012</w:t>
      </w:r>
      <w:r w:rsidR="001D3A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D3AFF">
        <w:rPr>
          <w:rFonts w:ascii="Times New Roman" w:hAnsi="Times New Roman" w:cs="Times New Roman"/>
          <w:sz w:val="24"/>
          <w:szCs w:val="24"/>
        </w:rPr>
        <w:t>предп</w:t>
      </w:r>
      <w:r w:rsidR="00836631">
        <w:rPr>
          <w:rFonts w:ascii="Times New Roman" w:hAnsi="Times New Roman" w:cs="Times New Roman"/>
          <w:sz w:val="24"/>
          <w:szCs w:val="24"/>
        </w:rPr>
        <w:t>оловодная</w:t>
      </w:r>
      <w:proofErr w:type="spellEnd"/>
      <w:r w:rsidR="00836631">
        <w:rPr>
          <w:rFonts w:ascii="Times New Roman" w:hAnsi="Times New Roman" w:cs="Times New Roman"/>
          <w:sz w:val="24"/>
          <w:szCs w:val="24"/>
        </w:rPr>
        <w:t xml:space="preserve"> сработка водохранилищ каскада. </w:t>
      </w:r>
    </w:p>
    <w:p w14:paraId="74D107CE" w14:textId="72706638" w:rsidR="00C510C8" w:rsidRPr="00183881" w:rsidRDefault="00DA3039" w:rsidP="005E3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81">
        <w:rPr>
          <w:rFonts w:ascii="Times New Roman" w:hAnsi="Times New Roman" w:cs="Times New Roman"/>
          <w:sz w:val="24"/>
          <w:szCs w:val="24"/>
        </w:rPr>
        <w:t>Необходимые дл</w:t>
      </w:r>
      <w:r w:rsidR="00860491" w:rsidRPr="00183881">
        <w:rPr>
          <w:rFonts w:ascii="Times New Roman" w:hAnsi="Times New Roman" w:cs="Times New Roman"/>
          <w:sz w:val="24"/>
          <w:szCs w:val="24"/>
        </w:rPr>
        <w:t>я проведения расчёта данные</w:t>
      </w:r>
      <w:r w:rsidRPr="00183881">
        <w:rPr>
          <w:rFonts w:ascii="Times New Roman" w:hAnsi="Times New Roman" w:cs="Times New Roman"/>
          <w:sz w:val="24"/>
          <w:szCs w:val="24"/>
        </w:rPr>
        <w:t xml:space="preserve"> взяты из различных источников, а также предоставлены АО “Институт </w:t>
      </w:r>
      <w:proofErr w:type="spellStart"/>
      <w:r w:rsidRPr="00183881">
        <w:rPr>
          <w:rFonts w:ascii="Times New Roman" w:hAnsi="Times New Roman" w:cs="Times New Roman"/>
          <w:sz w:val="24"/>
          <w:szCs w:val="24"/>
        </w:rPr>
        <w:t>Гидропроект</w:t>
      </w:r>
      <w:proofErr w:type="spellEnd"/>
      <w:r w:rsidRPr="00183881">
        <w:rPr>
          <w:rFonts w:ascii="Times New Roman" w:hAnsi="Times New Roman" w:cs="Times New Roman"/>
          <w:sz w:val="24"/>
          <w:szCs w:val="24"/>
        </w:rPr>
        <w:t xml:space="preserve">”, в том числе: </w:t>
      </w:r>
      <w:r w:rsidR="002B44D2" w:rsidRPr="00183881">
        <w:rPr>
          <w:rFonts w:ascii="Times New Roman" w:hAnsi="Times New Roman" w:cs="Times New Roman"/>
          <w:sz w:val="24"/>
          <w:szCs w:val="24"/>
        </w:rPr>
        <w:t>динамические характеристики объёмов водохранилищ, координаты зависимости максимальной пропускной способности гидроагрегатов и водосбросных сооружений рассматриваемых гидроузлов Волжско-Камского каскада;</w:t>
      </w:r>
      <w:r w:rsidR="001440DE" w:rsidRPr="00183881">
        <w:rPr>
          <w:rFonts w:ascii="Times New Roman" w:hAnsi="Times New Roman" w:cs="Times New Roman"/>
          <w:sz w:val="24"/>
          <w:szCs w:val="24"/>
        </w:rPr>
        <w:t xml:space="preserve"> расчётные гидрографы половодья </w:t>
      </w:r>
      <w:r w:rsidR="002B44D2" w:rsidRPr="00183881">
        <w:rPr>
          <w:rFonts w:ascii="Times New Roman" w:hAnsi="Times New Roman" w:cs="Times New Roman"/>
          <w:sz w:val="24"/>
          <w:szCs w:val="24"/>
        </w:rPr>
        <w:t>боковых  притоков на участках между гидроузлами при обеспеченности 0,01%</w:t>
      </w:r>
      <w:r w:rsidRPr="00183881">
        <w:rPr>
          <w:rFonts w:ascii="Times New Roman" w:hAnsi="Times New Roman" w:cs="Times New Roman"/>
          <w:sz w:val="24"/>
          <w:szCs w:val="24"/>
        </w:rPr>
        <w:t xml:space="preserve">; </w:t>
      </w:r>
      <w:r w:rsidR="002B44D2"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ординаты расчетных гидрографов весеннего половодья реки Камы в створе Камского гидроузла и реки Волги в створе Рыбинского гидроузла, принятые  при заданных вероятностях превышения стока половодья в створе Волгоградского гидроузла; </w:t>
      </w:r>
      <w:r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водохозяйственные п</w:t>
      </w:r>
      <w:r w:rsidR="002B44D2"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араметры</w:t>
      </w:r>
      <w:r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крупных гидроузлов Волжско-Кам</w:t>
      </w:r>
      <w:r w:rsidR="0083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каскада</w:t>
      </w:r>
      <w:r w:rsidR="00836631" w:rsidRPr="0083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3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уровней водохранилищ каскада перед началом половодья.</w:t>
      </w:r>
      <w:r w:rsidR="00860491"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Расчёт выполнен</w:t>
      </w:r>
      <w:r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уравнений водного баланса итерационным путём при помощи программы “Каскад”.</w:t>
      </w:r>
    </w:p>
    <w:p w14:paraId="7D8E0B41" w14:textId="5EEF1FCE" w:rsidR="002B44D2" w:rsidRDefault="00C510C8" w:rsidP="005E394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проделанной работы </w:t>
      </w:r>
      <w:r w:rsidR="001A6023"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полученные значения расхода через сооружения каскада </w:t>
      </w:r>
      <w:r w:rsidR="001A6023" w:rsidRPr="001838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1A6023" w:rsidRPr="001838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НБ</w:t>
      </w:r>
      <w:r w:rsidR="001A6023"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отметки уровня верхнего бьефа</w:t>
      </w:r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="00DC33E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ВБ</w:t>
      </w:r>
      <w:r w:rsidR="001A6023" w:rsidRPr="0018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многоводный период в случае использования статических кривых объёмов водохранилища и в случае использования динамических кривых объёмов</w:t>
      </w:r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вывода из работы агрегатов по СП 58.13330.2012 и </w:t>
      </w:r>
      <w:proofErr w:type="spellStart"/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предполоводной</w:t>
      </w:r>
      <w:proofErr w:type="spellEnd"/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сработки водохранилищ каскада. Были рассмотрены случаи</w:t>
      </w:r>
      <w:r w:rsidR="00DC33E4" w:rsidRP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расчёт </w:t>
      </w:r>
      <w:r w:rsidR="00DC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proofErr w:type="spellStart"/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нб</w:t>
      </w:r>
      <w:proofErr w:type="spellEnd"/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C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="00DC33E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ВБ</w:t>
      </w:r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динамических и статически</w:t>
      </w:r>
      <w:r w:rsidR="00285953">
        <w:rPr>
          <w:rFonts w:ascii="Times New Roman" w:eastAsia="Times New Roman" w:hAnsi="Times New Roman" w:cs="Times New Roman"/>
          <w:sz w:val="24"/>
          <w:szCs w:val="24"/>
          <w:lang w:eastAsia="ru-RU"/>
        </w:rPr>
        <w:t>х кривых объёма</w:t>
      </w:r>
      <w:bookmarkStart w:id="0" w:name="_GoBack"/>
      <w:bookmarkEnd w:id="0"/>
      <w:r w:rsidR="0028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ограничением </w:t>
      </w:r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ФПУ</w:t>
      </w:r>
      <w:r w:rsidR="00DC33E4" w:rsidRP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пропускной способности </w:t>
      </w:r>
      <w:r w:rsidR="00DC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DC33E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ВБ </w:t>
      </w:r>
      <w:r w:rsidR="00DC33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max</w:t>
      </w:r>
      <w:r w:rsidR="00DC33E4" w:rsidRP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</w:t>
      </w:r>
      <w:proofErr w:type="spellStart"/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предполоводной</w:t>
      </w:r>
      <w:proofErr w:type="spellEnd"/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сработки и без отключения агрегатов по нормативным положениям</w:t>
      </w:r>
      <w:r w:rsidR="00DC33E4" w:rsidRP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C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тот же расчёт, но </w:t>
      </w:r>
      <w:r w:rsidR="008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учёта </w:t>
      </w:r>
      <w:proofErr w:type="spellStart"/>
      <w:r w:rsidR="008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предполоводной</w:t>
      </w:r>
      <w:proofErr w:type="spellEnd"/>
      <w:r w:rsidR="008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сработки и</w:t>
      </w:r>
      <w:r w:rsidR="007D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выводом из работы агрегатов. </w:t>
      </w:r>
    </w:p>
    <w:p w14:paraId="01798237" w14:textId="39C3FFDA" w:rsidR="007D0AF6" w:rsidRPr="00182214" w:rsidRDefault="007D0AF6" w:rsidP="005E39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этих расчётов сравнивались с полученными ранее значениями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учёта нормативных положений (начало пропуска максимальных расходов воды, начиная от отме</w:t>
      </w:r>
      <w:r w:rsidR="00285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тки НПУ в первый день половодья</w:t>
      </w:r>
      <w:r w:rsidR="00285953" w:rsidRPr="002859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производится отключение агрегатов). Данный анализ показал, что в случае (а) расход Q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НБ</w:t>
      </w:r>
      <w:r w:rsidRP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отметка </w:t>
      </w:r>
      <w:r w:rsidR="001822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="0018221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ВБ</w:t>
      </w:r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меньше, чем при отсутствии </w:t>
      </w:r>
      <w:proofErr w:type="spellStart"/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предполоводной</w:t>
      </w:r>
      <w:proofErr w:type="spellEnd"/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сработки, в то время, как в случае (б) эти значения выше ранее </w:t>
      </w:r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полученных ввиду уменьшения пропускной способности из-за закрытия агрегатов. Также были проанализированы результаты расчёта этих параметров при </w:t>
      </w:r>
      <w:r w:rsidR="006B2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одновременном </w:t>
      </w:r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 </w:t>
      </w:r>
      <w:proofErr w:type="spellStart"/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предполоводной</w:t>
      </w:r>
      <w:proofErr w:type="spellEnd"/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сработки и о</w:t>
      </w:r>
      <w:r w:rsidR="006B22F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тключении агрегатов</w:t>
      </w:r>
      <w:r w:rsidR="00D9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своду правил</w:t>
      </w:r>
      <w:r w:rsidR="00182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308EC0" w14:textId="6BB799A4" w:rsidR="007A5C45" w:rsidRPr="00860491" w:rsidRDefault="007A5C45" w:rsidP="002B4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A5C45" w:rsidRPr="00860491" w:rsidSect="007A5C4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42FD"/>
    <w:multiLevelType w:val="hybridMultilevel"/>
    <w:tmpl w:val="2A3C9828"/>
    <w:lvl w:ilvl="0" w:tplc="81DA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5"/>
    <w:rsid w:val="00072C57"/>
    <w:rsid w:val="001440DE"/>
    <w:rsid w:val="00182214"/>
    <w:rsid w:val="00183881"/>
    <w:rsid w:val="001A6023"/>
    <w:rsid w:val="001D3AFF"/>
    <w:rsid w:val="00284487"/>
    <w:rsid w:val="00285953"/>
    <w:rsid w:val="00296D9C"/>
    <w:rsid w:val="002B44D2"/>
    <w:rsid w:val="002B47BF"/>
    <w:rsid w:val="003B6EDD"/>
    <w:rsid w:val="004511C0"/>
    <w:rsid w:val="00590BF4"/>
    <w:rsid w:val="005E3942"/>
    <w:rsid w:val="00684032"/>
    <w:rsid w:val="006B22F7"/>
    <w:rsid w:val="00762ADC"/>
    <w:rsid w:val="007A5C45"/>
    <w:rsid w:val="007B6E95"/>
    <w:rsid w:val="007D0AF6"/>
    <w:rsid w:val="008339BE"/>
    <w:rsid w:val="00836631"/>
    <w:rsid w:val="00860491"/>
    <w:rsid w:val="008B7DE5"/>
    <w:rsid w:val="009B38C5"/>
    <w:rsid w:val="00A05F2B"/>
    <w:rsid w:val="00BA70E7"/>
    <w:rsid w:val="00BC0DA5"/>
    <w:rsid w:val="00C42B86"/>
    <w:rsid w:val="00C4762B"/>
    <w:rsid w:val="00C510C8"/>
    <w:rsid w:val="00CB075F"/>
    <w:rsid w:val="00CD291A"/>
    <w:rsid w:val="00D9435C"/>
    <w:rsid w:val="00DA3039"/>
    <w:rsid w:val="00DC33E4"/>
    <w:rsid w:val="00EA619C"/>
    <w:rsid w:val="00F2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8C30C"/>
  <w14:defaultImageDpi w14:val="300"/>
  <w15:docId w15:val="{C3198B94-8923-4859-B69A-B2B867A2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C5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D2"/>
    <w:pPr>
      <w:ind w:left="720"/>
      <w:contextualSpacing/>
    </w:pPr>
  </w:style>
  <w:style w:type="character" w:customStyle="1" w:styleId="apple-converted-space">
    <w:name w:val="apple-converted-space"/>
    <w:basedOn w:val="a0"/>
    <w:rsid w:val="001440DE"/>
  </w:style>
  <w:style w:type="character" w:styleId="a4">
    <w:name w:val="Hyperlink"/>
    <w:basedOn w:val="a0"/>
    <w:uiPriority w:val="99"/>
    <w:semiHidden/>
    <w:unhideWhenUsed/>
    <w:rsid w:val="00144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moshp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AB612E-AD7E-421F-864B-FD414AAB7CB6}"/>
</file>

<file path=customXml/itemProps2.xml><?xml version="1.0" encoding="utf-8"?>
<ds:datastoreItem xmlns:ds="http://schemas.openxmlformats.org/officeDocument/2006/customXml" ds:itemID="{9B5429C4-8673-4A50-918A-EF221DA3F29C}"/>
</file>

<file path=customXml/itemProps3.xml><?xml version="1.0" encoding="utf-8"?>
<ds:datastoreItem xmlns:ds="http://schemas.openxmlformats.org/officeDocument/2006/customXml" ds:itemID="{1D14C92A-376B-4BA6-A163-718D0AED4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пропуска максимальных расходов воды с учетом негоризонтальности зеркала водохранилища и современных норм эксплуатации гидротехнических сооружений </dc:title>
  <dc:subject/>
  <dc:creator>Алексей Борщ</dc:creator>
  <cp:keywords/>
  <dc:description/>
  <cp:lastModifiedBy>Алекс</cp:lastModifiedBy>
  <cp:revision>10</cp:revision>
  <dcterms:created xsi:type="dcterms:W3CDTF">2016-09-15T21:32:00Z</dcterms:created>
  <dcterms:modified xsi:type="dcterms:W3CDTF">2017-09-27T21:21:00Z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