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0A713" w14:textId="77777777" w:rsidR="00FA146C" w:rsidRPr="00C9408A" w:rsidRDefault="00FA146C">
      <w:pPr>
        <w:pStyle w:val="ab"/>
        <w:spacing w:line="240" w:lineRule="auto"/>
        <w:jc w:val="left"/>
        <w:outlineLvl w:val="0"/>
        <w:rPr>
          <w:b w:val="0"/>
          <w:bCs w:val="0"/>
          <w:sz w:val="24"/>
          <w:szCs w:val="24"/>
        </w:rPr>
      </w:pPr>
      <w:r w:rsidRPr="00C9408A">
        <w:rPr>
          <w:b w:val="0"/>
          <w:bCs w:val="0"/>
          <w:sz w:val="24"/>
          <w:szCs w:val="24"/>
        </w:rPr>
        <w:t>УДК 532.2</w:t>
      </w:r>
    </w:p>
    <w:p w14:paraId="00665428" w14:textId="77777777" w:rsidR="009024BE" w:rsidRPr="00C9408A" w:rsidRDefault="009024BE">
      <w:pPr>
        <w:pStyle w:val="ab"/>
        <w:spacing w:line="240" w:lineRule="auto"/>
        <w:jc w:val="left"/>
        <w:outlineLvl w:val="0"/>
        <w:rPr>
          <w:b w:val="0"/>
          <w:bCs w:val="0"/>
          <w:sz w:val="24"/>
          <w:szCs w:val="24"/>
        </w:rPr>
      </w:pPr>
    </w:p>
    <w:p w14:paraId="70B7243F" w14:textId="77777777" w:rsidR="00FA146C" w:rsidRPr="00C9408A" w:rsidRDefault="00FA146C" w:rsidP="00D77943">
      <w:pPr>
        <w:pStyle w:val="ab"/>
        <w:spacing w:line="240" w:lineRule="auto"/>
        <w:outlineLvl w:val="0"/>
        <w:rPr>
          <w:sz w:val="24"/>
          <w:szCs w:val="24"/>
        </w:rPr>
      </w:pPr>
      <w:r w:rsidRPr="00C9408A">
        <w:rPr>
          <w:sz w:val="24"/>
          <w:szCs w:val="24"/>
        </w:rPr>
        <w:t>НАЗВАНИЕ ДОКЛАДА</w:t>
      </w:r>
    </w:p>
    <w:p w14:paraId="3CF67B0D" w14:textId="77777777" w:rsidR="00FA146C" w:rsidRPr="00C9408A" w:rsidRDefault="00FA146C" w:rsidP="00D77943">
      <w:pPr>
        <w:pStyle w:val="ab"/>
        <w:spacing w:line="240" w:lineRule="auto"/>
        <w:outlineLvl w:val="0"/>
        <w:rPr>
          <w:sz w:val="24"/>
          <w:szCs w:val="24"/>
        </w:rPr>
      </w:pPr>
    </w:p>
    <w:p w14:paraId="56DB74D1" w14:textId="77777777" w:rsidR="00FA146C" w:rsidRPr="00C9408A" w:rsidRDefault="00D77943" w:rsidP="00D77943">
      <w:pPr>
        <w:pStyle w:val="a8"/>
        <w:spacing w:line="240" w:lineRule="auto"/>
        <w:jc w:val="center"/>
        <w:rPr>
          <w:vertAlign w:val="superscript"/>
        </w:rPr>
      </w:pPr>
      <w:r w:rsidRPr="00C9408A">
        <w:rPr>
          <w:b/>
        </w:rPr>
        <w:t>Иванов И.И.</w:t>
      </w:r>
      <w:r w:rsidR="00FA146C" w:rsidRPr="00C9408A">
        <w:rPr>
          <w:vertAlign w:val="superscript"/>
        </w:rPr>
        <w:t>1</w:t>
      </w:r>
      <w:r w:rsidRPr="00C9408A">
        <w:rPr>
          <w:vertAlign w:val="superscript"/>
        </w:rPr>
        <w:t>*</w:t>
      </w:r>
      <w:r w:rsidR="00FA146C" w:rsidRPr="00C9408A">
        <w:t xml:space="preserve">, </w:t>
      </w:r>
      <w:r w:rsidRPr="00C9408A">
        <w:rPr>
          <w:b/>
        </w:rPr>
        <w:t>Петров П.П.</w:t>
      </w:r>
      <w:r w:rsidR="00FA146C" w:rsidRPr="00C9408A">
        <w:rPr>
          <w:vertAlign w:val="superscript"/>
        </w:rPr>
        <w:t>2</w:t>
      </w:r>
    </w:p>
    <w:p w14:paraId="3C1D60A0" w14:textId="31631EAC" w:rsidR="00FA146C" w:rsidRPr="00C9408A" w:rsidRDefault="00FA146C" w:rsidP="00D77943">
      <w:pPr>
        <w:pStyle w:val="a8"/>
        <w:spacing w:line="240" w:lineRule="auto"/>
        <w:jc w:val="center"/>
      </w:pPr>
      <w:r w:rsidRPr="00C9408A">
        <w:rPr>
          <w:vertAlign w:val="superscript"/>
        </w:rPr>
        <w:t>1</w:t>
      </w:r>
      <w:r w:rsidRPr="00C9408A">
        <w:t xml:space="preserve"> </w:t>
      </w:r>
      <w:r w:rsidR="0053430C" w:rsidRPr="00C9408A">
        <w:t>Московский энергетический институт (технический университет), Москва</w:t>
      </w:r>
      <w:r w:rsidR="00D77943" w:rsidRPr="00C9408A">
        <w:t>, Россия</w:t>
      </w:r>
    </w:p>
    <w:p w14:paraId="4E10A6C7" w14:textId="7ACBAF15" w:rsidR="00FA146C" w:rsidRPr="00C9408A" w:rsidRDefault="00FA146C" w:rsidP="00D77943">
      <w:pPr>
        <w:pStyle w:val="a8"/>
        <w:spacing w:line="240" w:lineRule="auto"/>
        <w:jc w:val="center"/>
      </w:pPr>
      <w:r w:rsidRPr="00C9408A">
        <w:rPr>
          <w:vertAlign w:val="superscript"/>
        </w:rPr>
        <w:t>2</w:t>
      </w:r>
      <w:r w:rsidRPr="00C9408A">
        <w:t xml:space="preserve"> </w:t>
      </w:r>
      <w:r w:rsidR="0053430C" w:rsidRPr="00C9408A">
        <w:t>Ивановский государственный энергетический университет имени В.И. Ленина, Иваново, Россия</w:t>
      </w:r>
    </w:p>
    <w:p w14:paraId="6FDAF329" w14:textId="4AE5C75E" w:rsidR="00FA146C" w:rsidRPr="00C9408A" w:rsidRDefault="00D77943" w:rsidP="00D77943">
      <w:pPr>
        <w:pStyle w:val="a8"/>
        <w:spacing w:line="240" w:lineRule="auto"/>
        <w:jc w:val="center"/>
        <w:rPr>
          <w:lang w:val="en-US"/>
        </w:rPr>
      </w:pPr>
      <w:r w:rsidRPr="00C9408A">
        <w:rPr>
          <w:lang w:val="en-US"/>
        </w:rPr>
        <w:t xml:space="preserve">*e-mail: </w:t>
      </w:r>
      <w:r w:rsidR="004B7424" w:rsidRPr="00C9408A">
        <w:rPr>
          <w:lang w:val="en-US"/>
        </w:rPr>
        <w:t>IvanovII</w:t>
      </w:r>
      <w:r w:rsidRPr="00C9408A">
        <w:rPr>
          <w:lang w:val="en-US"/>
        </w:rPr>
        <w:t>@</w:t>
      </w:r>
      <w:r w:rsidR="0053430C" w:rsidRPr="00C9408A">
        <w:rPr>
          <w:lang w:val="en-US"/>
        </w:rPr>
        <w:t>mpei.ru</w:t>
      </w:r>
    </w:p>
    <w:p w14:paraId="3DAF680D" w14:textId="77777777" w:rsidR="00D77943" w:rsidRPr="00C9408A" w:rsidRDefault="00D77943" w:rsidP="00D77943">
      <w:pPr>
        <w:pStyle w:val="a8"/>
        <w:spacing w:line="240" w:lineRule="auto"/>
        <w:jc w:val="center"/>
        <w:rPr>
          <w:lang w:val="en-US"/>
        </w:rPr>
      </w:pPr>
    </w:p>
    <w:p w14:paraId="737F8A22" w14:textId="16CFF565" w:rsidR="0053430C" w:rsidRPr="00C9408A" w:rsidRDefault="0053430C" w:rsidP="008E4127">
      <w:pPr>
        <w:widowControl w:val="0"/>
        <w:ind w:firstLine="284"/>
        <w:rPr>
          <w:b/>
          <w:bCs/>
          <w:sz w:val="24"/>
          <w:szCs w:val="24"/>
          <w:lang w:val="en-US"/>
        </w:rPr>
      </w:pPr>
      <w:r w:rsidRPr="00C9408A">
        <w:rPr>
          <w:b/>
          <w:bCs/>
          <w:sz w:val="24"/>
          <w:szCs w:val="24"/>
        </w:rPr>
        <w:t>Аннотация</w:t>
      </w:r>
      <w:r w:rsidRPr="00C9408A">
        <w:rPr>
          <w:b/>
          <w:bCs/>
          <w:sz w:val="24"/>
          <w:szCs w:val="24"/>
          <w:lang w:val="en-US"/>
        </w:rPr>
        <w:t>.</w:t>
      </w:r>
    </w:p>
    <w:p w14:paraId="7DA6C7B8" w14:textId="30BDF0E1" w:rsidR="0053430C" w:rsidRPr="00C9408A" w:rsidRDefault="00E65BC2" w:rsidP="0053430C">
      <w:pPr>
        <w:widowControl w:val="0"/>
        <w:ind w:firstLine="284"/>
        <w:rPr>
          <w:i/>
          <w:iCs/>
          <w:sz w:val="24"/>
          <w:szCs w:val="24"/>
        </w:rPr>
      </w:pPr>
      <w:r w:rsidRPr="00C9408A">
        <w:rPr>
          <w:i/>
          <w:iCs/>
          <w:sz w:val="24"/>
          <w:szCs w:val="24"/>
        </w:rPr>
        <w:t>П</w:t>
      </w:r>
      <w:r w:rsidR="0053430C" w:rsidRPr="00C9408A">
        <w:rPr>
          <w:i/>
          <w:iCs/>
          <w:sz w:val="24"/>
          <w:szCs w:val="24"/>
        </w:rPr>
        <w:t xml:space="preserve">риведены результаты анализа энергоэффективности основного и вспомогательного оборудования теплоэлектроцентралей. Выявлена причина возникновения повышенных расходов электрической энергии на собственные нужды ТЭЦ. </w:t>
      </w:r>
    </w:p>
    <w:p w14:paraId="0248E71E" w14:textId="78E8487E" w:rsidR="0053430C" w:rsidRPr="00C9408A" w:rsidRDefault="0053430C" w:rsidP="0053430C">
      <w:pPr>
        <w:widowControl w:val="0"/>
        <w:ind w:firstLine="284"/>
        <w:rPr>
          <w:i/>
          <w:iCs/>
          <w:sz w:val="24"/>
          <w:szCs w:val="24"/>
        </w:rPr>
      </w:pPr>
      <w:r w:rsidRPr="00C9408A">
        <w:rPr>
          <w:i/>
          <w:iCs/>
          <w:sz w:val="24"/>
          <w:szCs w:val="24"/>
        </w:rPr>
        <w:t xml:space="preserve">Разработана методика оценки затрат электрической энергии </w:t>
      </w:r>
      <w:bookmarkStart w:id="0" w:name="_GoBack"/>
      <w:bookmarkEnd w:id="0"/>
      <w:r w:rsidRPr="00C9408A">
        <w:rPr>
          <w:i/>
          <w:iCs/>
          <w:sz w:val="24"/>
          <w:szCs w:val="24"/>
        </w:rPr>
        <w:t>с учётом результатов опытно-экспериментальных исследований реального состояния и режимов работы оборудования.</w:t>
      </w:r>
    </w:p>
    <w:p w14:paraId="41D71462" w14:textId="77777777" w:rsidR="0053430C" w:rsidRPr="00C9408A" w:rsidRDefault="0053430C" w:rsidP="0053430C">
      <w:pPr>
        <w:widowControl w:val="0"/>
        <w:ind w:firstLine="284"/>
        <w:rPr>
          <w:i/>
          <w:iCs/>
          <w:sz w:val="24"/>
          <w:szCs w:val="24"/>
        </w:rPr>
      </w:pPr>
      <w:r w:rsidRPr="00C9408A">
        <w:rPr>
          <w:i/>
          <w:iCs/>
          <w:sz w:val="24"/>
          <w:szCs w:val="24"/>
        </w:rPr>
        <w:t>Приведены результаты анализа эффективности использования различных способов регулирования производительности вспомогательного оборудования.</w:t>
      </w:r>
    </w:p>
    <w:p w14:paraId="52CBB667" w14:textId="7335CD11" w:rsidR="0053430C" w:rsidRPr="00C9408A" w:rsidRDefault="0053430C" w:rsidP="0053430C">
      <w:pPr>
        <w:widowControl w:val="0"/>
        <w:ind w:firstLine="284"/>
        <w:rPr>
          <w:i/>
          <w:iCs/>
          <w:sz w:val="24"/>
          <w:szCs w:val="24"/>
        </w:rPr>
      </w:pPr>
      <w:r w:rsidRPr="00C9408A">
        <w:rPr>
          <w:i/>
          <w:iCs/>
          <w:sz w:val="24"/>
          <w:szCs w:val="24"/>
        </w:rPr>
        <w:t>Сформулированы предложения по повышению энергоэффективности вспомогательного оборудования теплоэлектроцентралей за счёт применения регулируемых приводов, снижающих затраты электрической энергии на собственные нужды.</w:t>
      </w:r>
    </w:p>
    <w:p w14:paraId="0CF8511A" w14:textId="77777777" w:rsidR="0053430C" w:rsidRPr="00C9408A" w:rsidRDefault="0053430C" w:rsidP="008E4127">
      <w:pPr>
        <w:widowControl w:val="0"/>
        <w:ind w:firstLine="284"/>
        <w:rPr>
          <w:sz w:val="24"/>
          <w:szCs w:val="24"/>
        </w:rPr>
      </w:pPr>
    </w:p>
    <w:p w14:paraId="2A81E0B7" w14:textId="4CC769D4" w:rsidR="0053430C" w:rsidRPr="00C9408A" w:rsidRDefault="0053430C" w:rsidP="008E4127">
      <w:pPr>
        <w:widowControl w:val="0"/>
        <w:ind w:firstLine="284"/>
        <w:rPr>
          <w:b/>
          <w:bCs/>
          <w:sz w:val="24"/>
          <w:szCs w:val="24"/>
        </w:rPr>
      </w:pPr>
      <w:r w:rsidRPr="00C9408A">
        <w:rPr>
          <w:b/>
          <w:bCs/>
          <w:sz w:val="24"/>
          <w:szCs w:val="24"/>
        </w:rPr>
        <w:t>Введение.</w:t>
      </w:r>
    </w:p>
    <w:p w14:paraId="70790694" w14:textId="77777777" w:rsidR="0053430C" w:rsidRPr="00C9408A" w:rsidRDefault="0053430C" w:rsidP="0053430C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Основная причина снижения экономичности работы основного и вспомогательного оборудования тепловых электрических станций – их работа на переменных нагрузках и в нерасчётных режимах.</w:t>
      </w:r>
    </w:p>
    <w:p w14:paraId="6DFE5D51" w14:textId="77777777" w:rsidR="0053430C" w:rsidRPr="00C9408A" w:rsidRDefault="0053430C" w:rsidP="0053430C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 xml:space="preserve">Вследствие переменных режимов работы большинства энергоблоков ТЭС ухудшается надежность эксплуатации, как основного тепломеханического оборудования, так и механизмов собственных нужд (СН) – многочисленных насосных и вентиляторных установок. </w:t>
      </w:r>
    </w:p>
    <w:p w14:paraId="1B384767" w14:textId="1624A08D" w:rsidR="0053430C" w:rsidRPr="00C9408A" w:rsidRDefault="0053430C" w:rsidP="0053430C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 xml:space="preserve">Работа генерирующего и вспомогательного оборудования в нерасчетных режимах достигает в среднем 75-80% от времени их использования. При режимах отличных от номинальных применяется </w:t>
      </w:r>
      <w:proofErr w:type="spellStart"/>
      <w:r w:rsidRPr="00C9408A">
        <w:rPr>
          <w:sz w:val="24"/>
          <w:szCs w:val="24"/>
        </w:rPr>
        <w:t>дросселирование</w:t>
      </w:r>
      <w:proofErr w:type="spellEnd"/>
      <w:r w:rsidRPr="00C9408A">
        <w:rPr>
          <w:sz w:val="24"/>
          <w:szCs w:val="24"/>
        </w:rPr>
        <w:t xml:space="preserve"> пара, газа и воздуха, что приводит к существенному дополнительному перерасходу электроэнергии на собственные нужды – до 12-14%.</w:t>
      </w:r>
    </w:p>
    <w:p w14:paraId="05508467" w14:textId="53008822" w:rsidR="0053430C" w:rsidRPr="00C9408A" w:rsidRDefault="0053430C" w:rsidP="0053430C">
      <w:pPr>
        <w:widowControl w:val="0"/>
        <w:ind w:firstLine="284"/>
        <w:rPr>
          <w:sz w:val="24"/>
          <w:szCs w:val="24"/>
        </w:rPr>
      </w:pPr>
      <w:r w:rsidRPr="00C9408A">
        <w:rPr>
          <w:b/>
          <w:bCs/>
          <w:sz w:val="24"/>
          <w:szCs w:val="24"/>
        </w:rPr>
        <w:t>Цель работы</w:t>
      </w:r>
      <w:r w:rsidRPr="00C9408A">
        <w:rPr>
          <w:sz w:val="24"/>
          <w:szCs w:val="24"/>
        </w:rPr>
        <w:t xml:space="preserve"> – </w:t>
      </w:r>
      <w:r w:rsidR="00677AED" w:rsidRPr="00C9408A">
        <w:rPr>
          <w:sz w:val="24"/>
          <w:szCs w:val="24"/>
        </w:rPr>
        <w:t>анализ</w:t>
      </w:r>
      <w:proofErr w:type="gramStart"/>
      <w:r w:rsidR="00677AED" w:rsidRPr="00C9408A">
        <w:rPr>
          <w:sz w:val="24"/>
          <w:szCs w:val="24"/>
        </w:rPr>
        <w:t>… .</w:t>
      </w:r>
      <w:proofErr w:type="gramEnd"/>
    </w:p>
    <w:p w14:paraId="3B921BB1" w14:textId="77777777" w:rsidR="0053430C" w:rsidRPr="00C9408A" w:rsidRDefault="0053430C" w:rsidP="0053430C">
      <w:pPr>
        <w:widowControl w:val="0"/>
        <w:ind w:firstLine="284"/>
        <w:rPr>
          <w:sz w:val="24"/>
          <w:szCs w:val="24"/>
        </w:rPr>
      </w:pPr>
    </w:p>
    <w:p w14:paraId="1785DDED" w14:textId="11E2FCA4" w:rsidR="0053430C" w:rsidRPr="00C9408A" w:rsidRDefault="00E65BC2" w:rsidP="0053430C">
      <w:pPr>
        <w:widowControl w:val="0"/>
        <w:ind w:firstLine="284"/>
        <w:rPr>
          <w:b/>
          <w:bCs/>
          <w:sz w:val="24"/>
          <w:szCs w:val="24"/>
        </w:rPr>
      </w:pPr>
      <w:r w:rsidRPr="00C9408A">
        <w:rPr>
          <w:b/>
          <w:bCs/>
          <w:sz w:val="24"/>
          <w:szCs w:val="24"/>
        </w:rPr>
        <w:t>Методы</w:t>
      </w:r>
      <w:r w:rsidR="00677AED" w:rsidRPr="00C9408A">
        <w:rPr>
          <w:b/>
          <w:bCs/>
          <w:sz w:val="24"/>
          <w:szCs w:val="24"/>
        </w:rPr>
        <w:t xml:space="preserve"> и материалы.</w:t>
      </w:r>
    </w:p>
    <w:p w14:paraId="148E5FF5" w14:textId="77777777" w:rsidR="00677AED" w:rsidRPr="00C9408A" w:rsidRDefault="00677AED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В настоящее время относительные расходы электрической энергии на собственные нужды вспомогательных механизмов теплоэлектроцентралей превышают нормативные значения более чем в два раза.</w:t>
      </w:r>
    </w:p>
    <w:p w14:paraId="3503E756" w14:textId="77777777" w:rsidR="00677AED" w:rsidRPr="00C9408A" w:rsidRDefault="00677AED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До 1990 года теплоэлектроцентрали проектировалось для работы в зимний и летний периоды на режимах, близких к номинальным, а в осенне-весенний периоды – для работы в переходных режимах. Регулирование производительности вспомогательного оборудования предусматривалось задвижкой или шибером.</w:t>
      </w:r>
    </w:p>
    <w:p w14:paraId="71CEA3F5" w14:textId="77777777" w:rsidR="00677AED" w:rsidRPr="00C9408A" w:rsidRDefault="00677AED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Такой способ регулирования допустим при отклонениях производительности на 5-10% от номинальной. При производительностях тягодутьевых механизмов ниже 60% от номинальной, производительность регулируется путем изменения оборотов вращения электродвигателя на тягодутьевых механизмах за счет перехода на другую скорость.</w:t>
      </w:r>
    </w:p>
    <w:p w14:paraId="0D3793D1" w14:textId="191F05E6" w:rsidR="00677AED" w:rsidRPr="00C9408A" w:rsidRDefault="00677AED" w:rsidP="00677AED">
      <w:pPr>
        <w:widowControl w:val="0"/>
        <w:ind w:firstLine="284"/>
        <w:rPr>
          <w:spacing w:val="-2"/>
          <w:sz w:val="24"/>
          <w:szCs w:val="24"/>
        </w:rPr>
      </w:pPr>
      <w:r w:rsidRPr="00C9408A">
        <w:rPr>
          <w:sz w:val="24"/>
          <w:szCs w:val="24"/>
        </w:rPr>
        <w:t xml:space="preserve">На рис. 1 приведена динамика среднемесячной производительности котла. </w:t>
      </w:r>
    </w:p>
    <w:p w14:paraId="473C8344" w14:textId="1EB702F7" w:rsidR="00677AED" w:rsidRPr="00C9408A" w:rsidRDefault="00677AED" w:rsidP="00677AED">
      <w:pPr>
        <w:widowControl w:val="0"/>
        <w:ind w:firstLine="284"/>
        <w:rPr>
          <w:spacing w:val="-2"/>
          <w:sz w:val="24"/>
          <w:szCs w:val="24"/>
        </w:rPr>
      </w:pPr>
    </w:p>
    <w:p w14:paraId="282E6B48" w14:textId="77777777" w:rsidR="00FA146C" w:rsidRPr="00C9408A" w:rsidRDefault="00FA146C" w:rsidP="008E4127">
      <w:pPr>
        <w:widowControl w:val="0"/>
        <w:ind w:firstLine="284"/>
        <w:rPr>
          <w:spacing w:val="-2"/>
          <w:sz w:val="24"/>
          <w:szCs w:val="24"/>
        </w:rPr>
      </w:pPr>
    </w:p>
    <w:p w14:paraId="17D65F08" w14:textId="5F050C4C" w:rsidR="00FA146C" w:rsidRPr="00C9408A" w:rsidRDefault="00FA146C" w:rsidP="00677AED">
      <w:pPr>
        <w:widowControl w:val="0"/>
        <w:tabs>
          <w:tab w:val="center" w:pos="4536"/>
          <w:tab w:val="right" w:pos="9072"/>
        </w:tabs>
        <w:ind w:firstLine="0"/>
        <w:jc w:val="left"/>
        <w:rPr>
          <w:spacing w:val="-2"/>
          <w:sz w:val="24"/>
          <w:szCs w:val="24"/>
        </w:rPr>
      </w:pPr>
      <w:r w:rsidRPr="00C9408A">
        <w:rPr>
          <w:sz w:val="24"/>
          <w:szCs w:val="24"/>
        </w:rPr>
        <w:tab/>
      </w:r>
      <m:oMath>
        <m:d>
          <m:dPr>
            <m:begChr m:val="⟨"/>
            <m:endChr m:val="⟩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ΔT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λ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  <m:nary>
          <m:naryPr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L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δ(l)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dl</m:t>
            </m:r>
          </m:e>
        </m:nary>
      </m:oMath>
      <w:r w:rsidRPr="00C9408A">
        <w:rPr>
          <w:sz w:val="24"/>
          <w:szCs w:val="24"/>
        </w:rPr>
        <w:tab/>
        <w:t>(1)</w:t>
      </w:r>
    </w:p>
    <w:p w14:paraId="16088063" w14:textId="77777777" w:rsidR="00FA146C" w:rsidRPr="00C9408A" w:rsidRDefault="00FA146C" w:rsidP="008E4127">
      <w:pPr>
        <w:widowControl w:val="0"/>
        <w:ind w:firstLine="284"/>
        <w:rPr>
          <w:spacing w:val="-2"/>
          <w:sz w:val="24"/>
          <w:szCs w:val="24"/>
        </w:rPr>
      </w:pPr>
    </w:p>
    <w:p w14:paraId="7C101EBC" w14:textId="77777777" w:rsidR="00677AED" w:rsidRPr="00C9408A" w:rsidRDefault="00677AED" w:rsidP="00677AED">
      <w:pPr>
        <w:widowControl w:val="0"/>
        <w:ind w:firstLine="0"/>
        <w:rPr>
          <w:b/>
          <w:bCs/>
          <w:sz w:val="24"/>
          <w:szCs w:val="24"/>
        </w:rPr>
      </w:pPr>
      <w:r w:rsidRPr="00C9408A">
        <w:rPr>
          <w:b/>
          <w:bCs/>
          <w:sz w:val="24"/>
          <w:szCs w:val="24"/>
        </w:rPr>
        <w:t>Результаты.</w:t>
      </w:r>
    </w:p>
    <w:p w14:paraId="5F321E92" w14:textId="27304A63" w:rsidR="00FA146C" w:rsidRPr="00C9408A" w:rsidRDefault="009C0706" w:rsidP="008E4127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 xml:space="preserve">Результаты обобщения экспериментальных данных приведены на </w:t>
      </w:r>
      <w:r w:rsidR="00FA146C" w:rsidRPr="00C9408A">
        <w:rPr>
          <w:sz w:val="24"/>
          <w:szCs w:val="24"/>
        </w:rPr>
        <w:t>рис.</w:t>
      </w:r>
      <w:r w:rsidR="00677AED" w:rsidRPr="00C9408A">
        <w:rPr>
          <w:sz w:val="24"/>
          <w:szCs w:val="24"/>
        </w:rPr>
        <w:t> 2</w:t>
      </w:r>
      <w:r w:rsidR="00FA146C" w:rsidRPr="00C9408A">
        <w:rPr>
          <w:sz w:val="24"/>
          <w:szCs w:val="24"/>
        </w:rPr>
        <w:t>.</w:t>
      </w:r>
    </w:p>
    <w:p w14:paraId="20CBA141" w14:textId="77777777" w:rsidR="009C0706" w:rsidRPr="00C9408A" w:rsidRDefault="009C0706" w:rsidP="00C53B50">
      <w:pPr>
        <w:widowControl w:val="0"/>
        <w:ind w:firstLine="0"/>
        <w:jc w:val="center"/>
        <w:rPr>
          <w:sz w:val="24"/>
          <w:szCs w:val="24"/>
        </w:rPr>
      </w:pPr>
      <w:r w:rsidRPr="00C9408A">
        <w:rPr>
          <w:noProof/>
          <w:sz w:val="24"/>
          <w:szCs w:val="24"/>
        </w:rPr>
        <w:drawing>
          <wp:inline distT="0" distB="0" distL="0" distR="0" wp14:anchorId="2206BECB" wp14:editId="27D5E495">
            <wp:extent cx="3155386" cy="22479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" r="13778"/>
                    <a:stretch/>
                  </pic:blipFill>
                  <pic:spPr bwMode="auto">
                    <a:xfrm>
                      <a:off x="0" y="0"/>
                      <a:ext cx="3159140" cy="225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BB0BFC" w14:textId="03E70C00" w:rsidR="009C0706" w:rsidRPr="00C9408A" w:rsidRDefault="00FA146C" w:rsidP="009C0706">
      <w:pPr>
        <w:widowControl w:val="0"/>
        <w:ind w:firstLine="0"/>
        <w:jc w:val="center"/>
        <w:rPr>
          <w:sz w:val="24"/>
          <w:szCs w:val="24"/>
        </w:rPr>
      </w:pPr>
      <w:r w:rsidRPr="00C9408A">
        <w:rPr>
          <w:b/>
          <w:sz w:val="24"/>
          <w:szCs w:val="24"/>
        </w:rPr>
        <w:t>Рис. 1</w:t>
      </w:r>
      <w:r w:rsidRPr="00C9408A">
        <w:rPr>
          <w:sz w:val="24"/>
          <w:szCs w:val="24"/>
        </w:rPr>
        <w:t xml:space="preserve">. </w:t>
      </w:r>
      <w:r w:rsidR="00677AED" w:rsidRPr="00C9408A">
        <w:rPr>
          <w:sz w:val="24"/>
          <w:szCs w:val="24"/>
        </w:rPr>
        <w:t>Пример оформления рисунка: и</w:t>
      </w:r>
      <w:r w:rsidR="009C0706" w:rsidRPr="00C9408A">
        <w:rPr>
          <w:sz w:val="24"/>
          <w:szCs w:val="24"/>
        </w:rPr>
        <w:t xml:space="preserve">зменение уноса ω в зависимости от приведённой скорости </w:t>
      </w:r>
      <w:proofErr w:type="gramStart"/>
      <w:r w:rsidR="009C0706" w:rsidRPr="00C9408A">
        <w:rPr>
          <w:sz w:val="24"/>
          <w:szCs w:val="24"/>
        </w:rPr>
        <w:t xml:space="preserve">пара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''</m:t>
            </m:r>
          </m:sup>
        </m:sSubSup>
      </m:oMath>
      <w:r w:rsidR="009C0706" w:rsidRPr="00C9408A">
        <w:rPr>
          <w:sz w:val="24"/>
          <w:szCs w:val="24"/>
        </w:rPr>
        <w:t xml:space="preserve"> в</w:t>
      </w:r>
      <w:proofErr w:type="gramEnd"/>
      <w:r w:rsidR="009C0706" w:rsidRPr="00C9408A">
        <w:rPr>
          <w:sz w:val="24"/>
          <w:szCs w:val="24"/>
        </w:rPr>
        <w:t xml:space="preserve"> опытах с диафрагмой диаметром, м: </w:t>
      </w:r>
      <w:r w:rsidR="009C0706" w:rsidRPr="00C9408A">
        <w:rPr>
          <w:i/>
          <w:sz w:val="24"/>
          <w:szCs w:val="24"/>
        </w:rPr>
        <w:t>1</w:t>
      </w:r>
      <w:r w:rsidR="009C0706" w:rsidRPr="00C9408A">
        <w:rPr>
          <w:sz w:val="24"/>
          <w:szCs w:val="24"/>
        </w:rPr>
        <w:t xml:space="preserve"> – 0,2; </w:t>
      </w:r>
      <w:r w:rsidR="009C0706" w:rsidRPr="00C9408A">
        <w:rPr>
          <w:i/>
          <w:sz w:val="24"/>
          <w:szCs w:val="24"/>
        </w:rPr>
        <w:t>2</w:t>
      </w:r>
      <w:r w:rsidR="009C0706" w:rsidRPr="00C9408A">
        <w:rPr>
          <w:sz w:val="24"/>
          <w:szCs w:val="24"/>
        </w:rPr>
        <w:t xml:space="preserve"> – 0,15; </w:t>
      </w:r>
      <w:r w:rsidR="009C0706" w:rsidRPr="00C9408A">
        <w:rPr>
          <w:i/>
          <w:sz w:val="24"/>
          <w:szCs w:val="24"/>
        </w:rPr>
        <w:t>3</w:t>
      </w:r>
      <w:r w:rsidR="009C0706" w:rsidRPr="00C9408A">
        <w:rPr>
          <w:sz w:val="24"/>
          <w:szCs w:val="24"/>
        </w:rPr>
        <w:t xml:space="preserve"> – 0,1. </w:t>
      </w:r>
    </w:p>
    <w:p w14:paraId="45C7B902" w14:textId="77777777" w:rsidR="00FA146C" w:rsidRPr="00C9408A" w:rsidRDefault="009C0706" w:rsidP="009C0706">
      <w:pPr>
        <w:widowControl w:val="0"/>
        <w:ind w:firstLine="0"/>
        <w:jc w:val="center"/>
        <w:rPr>
          <w:sz w:val="24"/>
          <w:szCs w:val="24"/>
        </w:rPr>
      </w:pPr>
      <w:r w:rsidRPr="00C9408A">
        <w:rPr>
          <w:sz w:val="24"/>
          <w:szCs w:val="24"/>
        </w:rPr>
        <w:t xml:space="preserve">Аппроксимации: </w:t>
      </w:r>
      <w:r w:rsidRPr="00C9408A">
        <w:rPr>
          <w:i/>
          <w:sz w:val="24"/>
          <w:szCs w:val="24"/>
        </w:rPr>
        <w:t>4</w:t>
      </w:r>
      <w:r w:rsidRPr="00C9408A">
        <w:rPr>
          <w:sz w:val="24"/>
          <w:szCs w:val="24"/>
        </w:rPr>
        <w:t xml:space="preserve"> – формулой (3); </w:t>
      </w:r>
      <w:r w:rsidRPr="00C9408A">
        <w:rPr>
          <w:i/>
          <w:sz w:val="24"/>
          <w:szCs w:val="24"/>
        </w:rPr>
        <w:t>5</w:t>
      </w:r>
      <w:r w:rsidRPr="00C9408A">
        <w:rPr>
          <w:sz w:val="24"/>
          <w:szCs w:val="24"/>
        </w:rPr>
        <w:t xml:space="preserve"> – формулой (4)</w:t>
      </w:r>
    </w:p>
    <w:p w14:paraId="1A116250" w14:textId="77777777" w:rsidR="00FA146C" w:rsidRPr="00C9408A" w:rsidRDefault="00FA146C" w:rsidP="00C53B50">
      <w:pPr>
        <w:widowControl w:val="0"/>
        <w:ind w:firstLine="0"/>
        <w:rPr>
          <w:sz w:val="24"/>
          <w:szCs w:val="24"/>
        </w:rPr>
      </w:pPr>
    </w:p>
    <w:p w14:paraId="5FA17B72" w14:textId="6BDEA5A1" w:rsidR="00677AED" w:rsidRPr="00C9408A" w:rsidRDefault="00677AED" w:rsidP="00677AED">
      <w:pPr>
        <w:widowControl w:val="0"/>
        <w:ind w:firstLine="0"/>
        <w:rPr>
          <w:b/>
          <w:bCs/>
          <w:sz w:val="24"/>
          <w:szCs w:val="24"/>
        </w:rPr>
      </w:pPr>
      <w:r w:rsidRPr="00C9408A">
        <w:rPr>
          <w:b/>
          <w:bCs/>
          <w:sz w:val="24"/>
          <w:szCs w:val="24"/>
        </w:rPr>
        <w:t>Обсуждение результатов.</w:t>
      </w:r>
    </w:p>
    <w:p w14:paraId="79CB5DBE" w14:textId="66D04BF0" w:rsidR="00677AED" w:rsidRPr="00C9408A" w:rsidRDefault="00677AED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Анализ режимов его работы показывает, что его производительность меняется в пределах 0,73-0,58 от номинальной [1].</w:t>
      </w:r>
    </w:p>
    <w:p w14:paraId="09D83A96" w14:textId="77777777" w:rsidR="00677AED" w:rsidRPr="00C9408A" w:rsidRDefault="00677AED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При нагрузках ниже 60% котел работал меньше одного месяца в году. Одиннадцать месяцев регулирование производительности тягодутьевых механизмов осуществлялось самым не эффективным способом – с помощью поворотных механизмов.</w:t>
      </w:r>
    </w:p>
    <w:p w14:paraId="36820B9D" w14:textId="34C8FAC3" w:rsidR="00677AED" w:rsidRPr="00C9408A" w:rsidRDefault="00677AED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Изменение суммарной нагрузки ТЭЦ в течение года приведено на рис. 2. Нагрузка ТЭЦ существенно меняется в течение года. Максимальная нагрузка в январе-декабре значительно снижается в летний период и достигает 30% от максимума из-за отсутствия отопительной нагрузки.</w:t>
      </w:r>
    </w:p>
    <w:p w14:paraId="27F54FB6" w14:textId="5FFE369D" w:rsidR="00FA146C" w:rsidRPr="00C9408A" w:rsidRDefault="00FA146C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Для проверки модели численные расчеты сравнивались с результатами эксперимента (табл.</w:t>
      </w:r>
      <w:r w:rsidR="008E4127" w:rsidRPr="00C9408A">
        <w:rPr>
          <w:sz w:val="24"/>
          <w:szCs w:val="24"/>
        </w:rPr>
        <w:t> </w:t>
      </w:r>
      <w:r w:rsidRPr="00C9408A">
        <w:rPr>
          <w:sz w:val="24"/>
          <w:szCs w:val="24"/>
        </w:rPr>
        <w:t>1).</w:t>
      </w:r>
    </w:p>
    <w:p w14:paraId="08FFB8E3" w14:textId="77777777" w:rsidR="00FA146C" w:rsidRPr="00C9408A" w:rsidRDefault="00FA146C" w:rsidP="008E4127">
      <w:pPr>
        <w:widowControl w:val="0"/>
        <w:ind w:firstLine="284"/>
        <w:rPr>
          <w:sz w:val="24"/>
          <w:szCs w:val="24"/>
        </w:rPr>
      </w:pPr>
    </w:p>
    <w:p w14:paraId="55647FAE" w14:textId="29FAB331" w:rsidR="00FA146C" w:rsidRPr="00C9408A" w:rsidRDefault="00FA146C" w:rsidP="001E3A53">
      <w:pPr>
        <w:widowControl w:val="0"/>
        <w:ind w:firstLine="0"/>
        <w:jc w:val="left"/>
        <w:rPr>
          <w:sz w:val="24"/>
          <w:szCs w:val="24"/>
        </w:rPr>
      </w:pPr>
      <w:r w:rsidRPr="00C9408A">
        <w:rPr>
          <w:b/>
          <w:sz w:val="24"/>
          <w:szCs w:val="24"/>
        </w:rPr>
        <w:t>Таблица 1</w:t>
      </w:r>
      <w:r w:rsidRPr="00C9408A">
        <w:rPr>
          <w:sz w:val="24"/>
          <w:szCs w:val="24"/>
        </w:rPr>
        <w:t xml:space="preserve">. </w:t>
      </w:r>
      <w:r w:rsidR="00677AED" w:rsidRPr="00C9408A">
        <w:rPr>
          <w:sz w:val="24"/>
          <w:szCs w:val="24"/>
        </w:rPr>
        <w:t>Пример оформлени</w:t>
      </w:r>
      <w:r w:rsidRPr="00C9408A">
        <w:rPr>
          <w:sz w:val="24"/>
          <w:szCs w:val="24"/>
        </w:rPr>
        <w:t>я</w:t>
      </w:r>
      <w:r w:rsidR="00677AED" w:rsidRPr="00C9408A">
        <w:rPr>
          <w:sz w:val="24"/>
          <w:szCs w:val="24"/>
        </w:rPr>
        <w:t xml:space="preserve"> таблицы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095"/>
        <w:gridCol w:w="2990"/>
      </w:tblGrid>
      <w:tr w:rsidR="00FA146C" w:rsidRPr="00C9408A" w14:paraId="3DA13A61" w14:textId="77777777" w:rsidTr="00B07E4A">
        <w:tc>
          <w:tcPr>
            <w:tcW w:w="2987" w:type="dxa"/>
            <w:tcBorders>
              <w:left w:val="nil"/>
            </w:tcBorders>
          </w:tcPr>
          <w:p w14:paraId="0B831E4A" w14:textId="77777777" w:rsidR="00FA146C" w:rsidRPr="00C9408A" w:rsidRDefault="00FA146C">
            <w:pPr>
              <w:widowControl w:val="0"/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 w:rsidRPr="00C9408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95" w:type="dxa"/>
          </w:tcPr>
          <w:p w14:paraId="402DBBD3" w14:textId="77777777" w:rsidR="00FA146C" w:rsidRPr="00C9408A" w:rsidRDefault="00FA146C">
            <w:pPr>
              <w:widowControl w:val="0"/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 w:rsidRPr="00C9408A">
              <w:rPr>
                <w:sz w:val="24"/>
                <w:szCs w:val="24"/>
              </w:rPr>
              <w:t>Опытное значение</w:t>
            </w:r>
          </w:p>
        </w:tc>
        <w:tc>
          <w:tcPr>
            <w:tcW w:w="2990" w:type="dxa"/>
          </w:tcPr>
          <w:p w14:paraId="358B574F" w14:textId="77777777" w:rsidR="00FA146C" w:rsidRPr="00C9408A" w:rsidRDefault="00FA146C">
            <w:pPr>
              <w:widowControl w:val="0"/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 w:rsidRPr="00C9408A">
              <w:rPr>
                <w:sz w:val="24"/>
                <w:szCs w:val="24"/>
              </w:rPr>
              <w:t>Расчетное значение</w:t>
            </w:r>
          </w:p>
        </w:tc>
      </w:tr>
      <w:tr w:rsidR="00FA146C" w:rsidRPr="00C9408A" w14:paraId="0EC6D8DD" w14:textId="77777777" w:rsidTr="00B07E4A">
        <w:tc>
          <w:tcPr>
            <w:tcW w:w="2987" w:type="dxa"/>
            <w:tcBorders>
              <w:left w:val="nil"/>
            </w:tcBorders>
          </w:tcPr>
          <w:p w14:paraId="6D497C6B" w14:textId="77777777" w:rsidR="00FA146C" w:rsidRPr="00C9408A" w:rsidRDefault="00FA146C" w:rsidP="001E3A53">
            <w:pPr>
              <w:widowControl w:val="0"/>
              <w:spacing w:before="60" w:after="60"/>
              <w:ind w:firstLine="0"/>
              <w:jc w:val="left"/>
              <w:rPr>
                <w:sz w:val="24"/>
                <w:szCs w:val="24"/>
              </w:rPr>
            </w:pPr>
            <w:r w:rsidRPr="00C9408A">
              <w:rPr>
                <w:sz w:val="24"/>
                <w:szCs w:val="24"/>
              </w:rPr>
              <w:t>Давление, Па</w:t>
            </w:r>
          </w:p>
        </w:tc>
        <w:tc>
          <w:tcPr>
            <w:tcW w:w="3095" w:type="dxa"/>
          </w:tcPr>
          <w:p w14:paraId="37370544" w14:textId="77777777" w:rsidR="00FA146C" w:rsidRPr="00C9408A" w:rsidRDefault="00FA146C">
            <w:pPr>
              <w:widowControl w:val="0"/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 w:rsidRPr="00C9408A">
              <w:rPr>
                <w:sz w:val="24"/>
                <w:szCs w:val="24"/>
              </w:rPr>
              <w:t>26</w:t>
            </w:r>
          </w:p>
        </w:tc>
        <w:tc>
          <w:tcPr>
            <w:tcW w:w="2990" w:type="dxa"/>
          </w:tcPr>
          <w:p w14:paraId="54D1C6DC" w14:textId="77777777" w:rsidR="00FA146C" w:rsidRPr="00C9408A" w:rsidRDefault="00FA146C">
            <w:pPr>
              <w:widowControl w:val="0"/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 w:rsidRPr="00C9408A">
              <w:rPr>
                <w:sz w:val="24"/>
                <w:szCs w:val="24"/>
              </w:rPr>
              <w:t>25,9</w:t>
            </w:r>
          </w:p>
        </w:tc>
      </w:tr>
    </w:tbl>
    <w:p w14:paraId="6C02010C" w14:textId="77777777" w:rsidR="00677AED" w:rsidRPr="00C9408A" w:rsidRDefault="00677AED" w:rsidP="00677AED">
      <w:pPr>
        <w:widowControl w:val="0"/>
        <w:ind w:firstLine="0"/>
        <w:rPr>
          <w:sz w:val="24"/>
          <w:szCs w:val="24"/>
        </w:rPr>
      </w:pPr>
    </w:p>
    <w:p w14:paraId="23EF2691" w14:textId="00994F43" w:rsidR="00677AED" w:rsidRPr="00C9408A" w:rsidRDefault="00677AED" w:rsidP="00677AED">
      <w:pPr>
        <w:widowControl w:val="0"/>
        <w:ind w:firstLine="0"/>
        <w:rPr>
          <w:b/>
          <w:bCs/>
          <w:sz w:val="24"/>
          <w:szCs w:val="24"/>
        </w:rPr>
      </w:pPr>
      <w:r w:rsidRPr="00C9408A">
        <w:rPr>
          <w:b/>
          <w:bCs/>
          <w:sz w:val="24"/>
          <w:szCs w:val="24"/>
        </w:rPr>
        <w:t>Выводы.</w:t>
      </w:r>
    </w:p>
    <w:p w14:paraId="4A9CEC19" w14:textId="366EE123" w:rsidR="00677AED" w:rsidRPr="00C9408A" w:rsidRDefault="00677AED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1. Проведённый анализ режимов работы основного и вспомогательного оборудования показал, что в настоящее время при работе основного и вспомогательного оборудования наблюдаются значительные отклонения их производительностей от номинальных значений.</w:t>
      </w:r>
    </w:p>
    <w:p w14:paraId="011A4F15" w14:textId="41EDC3C1" w:rsidR="00677AED" w:rsidRPr="00C9408A" w:rsidRDefault="00677AED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2. Переменные режимы работы их приводят к увеличению затрат электрической энергии на привод тягодутьевых механизмов и питательного комплекса.</w:t>
      </w:r>
    </w:p>
    <w:p w14:paraId="69587D7E" w14:textId="54C5383B" w:rsidR="00677AED" w:rsidRPr="00C9408A" w:rsidRDefault="00677AED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 xml:space="preserve">3. Предложены методики оценки затрат электрической энергии на собственные </w:t>
      </w:r>
      <w:r w:rsidRPr="00C9408A">
        <w:rPr>
          <w:sz w:val="24"/>
          <w:szCs w:val="24"/>
        </w:rPr>
        <w:lastRenderedPageBreak/>
        <w:t>нужды, позволяющие оценить эффективность применения различных видов регулируемого привода.</w:t>
      </w:r>
    </w:p>
    <w:p w14:paraId="02D332B4" w14:textId="77777777" w:rsidR="00677AED" w:rsidRPr="00C9408A" w:rsidRDefault="00677AED" w:rsidP="00677AED">
      <w:pPr>
        <w:widowControl w:val="0"/>
        <w:ind w:firstLine="284"/>
        <w:rPr>
          <w:sz w:val="24"/>
          <w:szCs w:val="24"/>
        </w:rPr>
      </w:pPr>
      <w:r w:rsidRPr="00C9408A">
        <w:rPr>
          <w:sz w:val="24"/>
          <w:szCs w:val="24"/>
        </w:rPr>
        <w:t>Показаны направления снижения затрат электрической энергии на собственные нужды.</w:t>
      </w:r>
    </w:p>
    <w:p w14:paraId="4EB1049C" w14:textId="08BD164F" w:rsidR="00677AED" w:rsidRPr="00C9408A" w:rsidRDefault="00677AED" w:rsidP="00677AED">
      <w:pPr>
        <w:widowControl w:val="0"/>
        <w:ind w:firstLine="284"/>
        <w:rPr>
          <w:i/>
          <w:iCs/>
          <w:sz w:val="24"/>
          <w:szCs w:val="24"/>
        </w:rPr>
      </w:pPr>
      <w:r w:rsidRPr="00C9408A">
        <w:rPr>
          <w:i/>
          <w:iCs/>
          <w:sz w:val="24"/>
          <w:szCs w:val="24"/>
        </w:rPr>
        <w:t>Работа выполнена при финансовой поддержке Министерства науки и высшего образования Российской Федерации, соглашение № FSRF-2024-0043.</w:t>
      </w:r>
    </w:p>
    <w:p w14:paraId="266C2BFB" w14:textId="77777777" w:rsidR="00677AED" w:rsidRPr="00C9408A" w:rsidRDefault="00677AED" w:rsidP="008E4127">
      <w:pPr>
        <w:widowControl w:val="0"/>
        <w:ind w:firstLine="0"/>
        <w:jc w:val="center"/>
        <w:rPr>
          <w:sz w:val="24"/>
          <w:szCs w:val="24"/>
        </w:rPr>
      </w:pPr>
    </w:p>
    <w:p w14:paraId="5B15A55A" w14:textId="77777777" w:rsidR="007635E0" w:rsidRPr="00C9408A" w:rsidRDefault="007635E0" w:rsidP="008E4127">
      <w:pPr>
        <w:widowControl w:val="0"/>
        <w:ind w:firstLine="0"/>
        <w:jc w:val="center"/>
        <w:rPr>
          <w:sz w:val="24"/>
          <w:szCs w:val="24"/>
        </w:rPr>
      </w:pPr>
      <w:r w:rsidRPr="00C9408A">
        <w:rPr>
          <w:b/>
          <w:bCs/>
          <w:sz w:val="24"/>
          <w:szCs w:val="24"/>
        </w:rPr>
        <w:t>Список литературы</w:t>
      </w:r>
    </w:p>
    <w:p w14:paraId="68754655" w14:textId="77777777" w:rsidR="007635E0" w:rsidRPr="00C9408A" w:rsidRDefault="007635E0" w:rsidP="008E4127">
      <w:pPr>
        <w:widowControl w:val="0"/>
        <w:ind w:firstLine="0"/>
        <w:jc w:val="center"/>
        <w:rPr>
          <w:sz w:val="24"/>
          <w:szCs w:val="24"/>
        </w:rPr>
      </w:pPr>
    </w:p>
    <w:p w14:paraId="76182682" w14:textId="77777777" w:rsidR="00FA146C" w:rsidRPr="00C9408A" w:rsidRDefault="006F3112" w:rsidP="003748F6">
      <w:pPr>
        <w:pStyle w:val="21"/>
        <w:numPr>
          <w:ilvl w:val="0"/>
          <w:numId w:val="16"/>
        </w:numPr>
        <w:tabs>
          <w:tab w:val="clear" w:pos="227"/>
          <w:tab w:val="left" w:pos="284"/>
        </w:tabs>
        <w:ind w:left="284" w:hanging="284"/>
        <w:rPr>
          <w:sz w:val="24"/>
          <w:szCs w:val="24"/>
        </w:rPr>
      </w:pPr>
      <w:proofErr w:type="spellStart"/>
      <w:r w:rsidRPr="00C9408A">
        <w:rPr>
          <w:b/>
          <w:bCs/>
          <w:sz w:val="24"/>
          <w:szCs w:val="24"/>
        </w:rPr>
        <w:t>Лабунцов</w:t>
      </w:r>
      <w:proofErr w:type="spellEnd"/>
      <w:r w:rsidRPr="00C9408A">
        <w:rPr>
          <w:b/>
          <w:bCs/>
          <w:sz w:val="24"/>
          <w:szCs w:val="24"/>
        </w:rPr>
        <w:t xml:space="preserve"> Д.А., </w:t>
      </w:r>
      <w:proofErr w:type="spellStart"/>
      <w:r w:rsidRPr="00C9408A">
        <w:rPr>
          <w:b/>
          <w:bCs/>
          <w:sz w:val="24"/>
          <w:szCs w:val="24"/>
        </w:rPr>
        <w:t>Ягов</w:t>
      </w:r>
      <w:proofErr w:type="spellEnd"/>
      <w:r w:rsidRPr="00C9408A">
        <w:rPr>
          <w:b/>
          <w:bCs/>
          <w:sz w:val="24"/>
          <w:szCs w:val="24"/>
        </w:rPr>
        <w:t xml:space="preserve"> В.В.</w:t>
      </w:r>
      <w:r w:rsidRPr="00C9408A">
        <w:rPr>
          <w:sz w:val="24"/>
          <w:szCs w:val="24"/>
        </w:rPr>
        <w:t xml:space="preserve"> Механика двухфазных систем. М.: Изд-во МЭИ, 2000.</w:t>
      </w:r>
    </w:p>
    <w:p w14:paraId="178A3E31" w14:textId="77777777" w:rsidR="000F7F9C" w:rsidRPr="00C9408A" w:rsidRDefault="000F7F9C" w:rsidP="003748F6">
      <w:pPr>
        <w:pStyle w:val="21"/>
        <w:numPr>
          <w:ilvl w:val="0"/>
          <w:numId w:val="16"/>
        </w:numPr>
        <w:tabs>
          <w:tab w:val="clear" w:pos="227"/>
          <w:tab w:val="left" w:pos="284"/>
        </w:tabs>
        <w:ind w:left="284" w:hanging="284"/>
        <w:rPr>
          <w:sz w:val="24"/>
          <w:szCs w:val="24"/>
        </w:rPr>
      </w:pPr>
      <w:r w:rsidRPr="00C9408A">
        <w:rPr>
          <w:b/>
          <w:bCs/>
          <w:sz w:val="24"/>
          <w:szCs w:val="24"/>
        </w:rPr>
        <w:t>Сухоруков Ю.Г., Ермолов В.Ф., Трифонов Н.Н.</w:t>
      </w:r>
      <w:r w:rsidRPr="00C9408A">
        <w:rPr>
          <w:sz w:val="24"/>
          <w:szCs w:val="24"/>
        </w:rPr>
        <w:t xml:space="preserve"> Методика расчета набухания уровня воды и защитных средств, исключающих ее попадание в проточную часть турбины с обратным потоком пара из смешивающих подогревателей // Теплоэнергетика. 2008. № 2. С. 72–76.</w:t>
      </w:r>
    </w:p>
    <w:p w14:paraId="2D80A61C" w14:textId="77777777" w:rsidR="00FA146C" w:rsidRPr="00C9408A" w:rsidRDefault="006F3112" w:rsidP="003748F6">
      <w:pPr>
        <w:pStyle w:val="af3"/>
        <w:numPr>
          <w:ilvl w:val="0"/>
          <w:numId w:val="16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C9408A">
        <w:rPr>
          <w:b/>
          <w:sz w:val="24"/>
          <w:szCs w:val="24"/>
        </w:rPr>
        <w:t>РТМ 108.038.03-83.</w:t>
      </w:r>
      <w:r w:rsidRPr="00C9408A">
        <w:rPr>
          <w:sz w:val="24"/>
          <w:szCs w:val="24"/>
        </w:rPr>
        <w:t xml:space="preserve"> Подогреватели регенеративные смешивающие и схемы их включения. Расчет, проектирование и эксплуатация. Л.: НПО ЦКТИ, 1983.</w:t>
      </w:r>
    </w:p>
    <w:p w14:paraId="3B713E83" w14:textId="77777777" w:rsidR="00A54286" w:rsidRPr="00C9408A" w:rsidRDefault="00A54286" w:rsidP="003748F6">
      <w:pPr>
        <w:pStyle w:val="31"/>
        <w:numPr>
          <w:ilvl w:val="0"/>
          <w:numId w:val="16"/>
        </w:numPr>
        <w:tabs>
          <w:tab w:val="left" w:pos="284"/>
        </w:tabs>
        <w:ind w:left="284" w:hanging="284"/>
        <w:rPr>
          <w:sz w:val="24"/>
          <w:szCs w:val="24"/>
          <w:lang w:val="en-US"/>
        </w:rPr>
      </w:pPr>
      <w:r w:rsidRPr="00C9408A">
        <w:rPr>
          <w:b/>
          <w:bCs/>
          <w:sz w:val="24"/>
          <w:szCs w:val="24"/>
          <w:lang w:val="en-US"/>
        </w:rPr>
        <w:t>Bradfield W.S.</w:t>
      </w:r>
      <w:r w:rsidRPr="00C9408A">
        <w:rPr>
          <w:sz w:val="24"/>
          <w:szCs w:val="24"/>
          <w:lang w:val="en-US"/>
        </w:rPr>
        <w:t xml:space="preserve"> Solid-liquid contact in stable film boiling // Ind. Eng. Chem. </w:t>
      </w:r>
      <w:proofErr w:type="spellStart"/>
      <w:r w:rsidRPr="00C9408A">
        <w:rPr>
          <w:sz w:val="24"/>
          <w:szCs w:val="24"/>
          <w:lang w:val="en-US"/>
        </w:rPr>
        <w:t>Fundam</w:t>
      </w:r>
      <w:proofErr w:type="spellEnd"/>
      <w:r w:rsidRPr="00C9408A">
        <w:rPr>
          <w:sz w:val="24"/>
          <w:szCs w:val="24"/>
          <w:lang w:val="en-US"/>
        </w:rPr>
        <w:t xml:space="preserve">. 1966. V. </w:t>
      </w:r>
      <w:proofErr w:type="gramStart"/>
      <w:r w:rsidRPr="00C9408A">
        <w:rPr>
          <w:sz w:val="24"/>
          <w:szCs w:val="24"/>
          <w:lang w:val="en-US"/>
        </w:rPr>
        <w:t>5</w:t>
      </w:r>
      <w:proofErr w:type="gramEnd"/>
      <w:r w:rsidRPr="00C9408A">
        <w:rPr>
          <w:sz w:val="24"/>
          <w:szCs w:val="24"/>
          <w:lang w:val="en-US"/>
        </w:rPr>
        <w:t>. P. 200–204.</w:t>
      </w:r>
    </w:p>
    <w:p w14:paraId="0278063A" w14:textId="77777777" w:rsidR="001828F3" w:rsidRPr="00C9408A" w:rsidRDefault="006F3112" w:rsidP="003748F6">
      <w:pPr>
        <w:pStyle w:val="31"/>
        <w:numPr>
          <w:ilvl w:val="0"/>
          <w:numId w:val="16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C9408A">
        <w:rPr>
          <w:b/>
          <w:sz w:val="24"/>
          <w:szCs w:val="24"/>
        </w:rPr>
        <w:t xml:space="preserve">Теоретические </w:t>
      </w:r>
      <w:r w:rsidRPr="00C9408A">
        <w:rPr>
          <w:sz w:val="24"/>
          <w:szCs w:val="24"/>
        </w:rPr>
        <w:t>основы теплотехники. Теплотехнический эксперимент: справочник / Под общ. ред. В.А. Григорьева, В.М. Зорина. М.: Издательский дом МЭИ, 2007.</w:t>
      </w:r>
    </w:p>
    <w:p w14:paraId="5193A25B" w14:textId="77777777" w:rsidR="006F3112" w:rsidRPr="00C9408A" w:rsidRDefault="006F3112" w:rsidP="003748F6">
      <w:pPr>
        <w:pStyle w:val="31"/>
        <w:numPr>
          <w:ilvl w:val="0"/>
          <w:numId w:val="16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C9408A">
        <w:rPr>
          <w:b/>
          <w:sz w:val="24"/>
          <w:szCs w:val="24"/>
        </w:rPr>
        <w:t>Балунов Б.Ф.</w:t>
      </w:r>
      <w:r w:rsidRPr="00C9408A">
        <w:rPr>
          <w:bCs/>
          <w:sz w:val="24"/>
          <w:szCs w:val="24"/>
        </w:rPr>
        <w:t xml:space="preserve"> </w:t>
      </w:r>
      <w:r w:rsidRPr="00C9408A">
        <w:rPr>
          <w:sz w:val="24"/>
          <w:szCs w:val="24"/>
        </w:rPr>
        <w:t xml:space="preserve">Комплекс экспериментальных исследований для обоснования надежности охлаждения активной зоны интегральных водоохлаждаемых реакторов при авариях с потерей теплоносителя: </w:t>
      </w:r>
      <w:proofErr w:type="spellStart"/>
      <w:r w:rsidRPr="00C9408A">
        <w:rPr>
          <w:sz w:val="24"/>
          <w:szCs w:val="24"/>
        </w:rPr>
        <w:t>дис</w:t>
      </w:r>
      <w:proofErr w:type="spellEnd"/>
      <w:r w:rsidRPr="00C9408A">
        <w:rPr>
          <w:sz w:val="24"/>
          <w:szCs w:val="24"/>
        </w:rPr>
        <w:t xml:space="preserve">. … </w:t>
      </w:r>
      <w:proofErr w:type="spellStart"/>
      <w:r w:rsidRPr="00C9408A">
        <w:rPr>
          <w:sz w:val="24"/>
          <w:szCs w:val="24"/>
        </w:rPr>
        <w:t>докт</w:t>
      </w:r>
      <w:proofErr w:type="spellEnd"/>
      <w:r w:rsidRPr="00C9408A">
        <w:rPr>
          <w:sz w:val="24"/>
          <w:szCs w:val="24"/>
        </w:rPr>
        <w:t xml:space="preserve">. техн. наук. </w:t>
      </w:r>
      <w:proofErr w:type="gramStart"/>
      <w:r w:rsidRPr="00C9408A">
        <w:rPr>
          <w:sz w:val="24"/>
          <w:szCs w:val="24"/>
        </w:rPr>
        <w:t>СПб.,</w:t>
      </w:r>
      <w:proofErr w:type="gramEnd"/>
      <w:r w:rsidRPr="00C9408A">
        <w:rPr>
          <w:sz w:val="24"/>
          <w:szCs w:val="24"/>
        </w:rPr>
        <w:t xml:space="preserve"> 1997.</w:t>
      </w:r>
    </w:p>
    <w:p w14:paraId="27C85B3F" w14:textId="77777777" w:rsidR="00A54286" w:rsidRPr="00C9408A" w:rsidRDefault="00552898" w:rsidP="003748F6">
      <w:pPr>
        <w:pStyle w:val="31"/>
        <w:numPr>
          <w:ilvl w:val="0"/>
          <w:numId w:val="16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C9408A">
        <w:rPr>
          <w:b/>
          <w:bCs/>
          <w:iCs/>
          <w:sz w:val="24"/>
          <w:szCs w:val="24"/>
        </w:rPr>
        <w:t xml:space="preserve">Модернизация </w:t>
      </w:r>
      <w:r w:rsidRPr="00C9408A">
        <w:rPr>
          <w:iCs/>
          <w:sz w:val="24"/>
          <w:szCs w:val="24"/>
        </w:rPr>
        <w:t xml:space="preserve">подогревателей высокого давления для энергоблоков мощностью 200 МВт / Е.Б. Григорьева, Н.Н. Трифонов, С.Б. Есин, А.Ю. Юрченко, Е.К. Николаенкова // Национальный конгресс по энергетике НКЭ-2014 (г. Казань, 8–12 сентября 2014 г.): сб. </w:t>
      </w:r>
      <w:proofErr w:type="spellStart"/>
      <w:r w:rsidRPr="00C9408A">
        <w:rPr>
          <w:iCs/>
          <w:sz w:val="24"/>
          <w:szCs w:val="24"/>
        </w:rPr>
        <w:t>докл</w:t>
      </w:r>
      <w:proofErr w:type="spellEnd"/>
      <w:r w:rsidRPr="00C9408A">
        <w:rPr>
          <w:iCs/>
          <w:sz w:val="24"/>
          <w:szCs w:val="24"/>
        </w:rPr>
        <w:t>. – Казань: КГЭУ, 2014. С. 151–158.</w:t>
      </w:r>
    </w:p>
    <w:p w14:paraId="4C6156BA" w14:textId="77777777" w:rsidR="00E2790C" w:rsidRPr="00C9408A" w:rsidRDefault="00E2790C" w:rsidP="003748F6">
      <w:pPr>
        <w:pStyle w:val="31"/>
        <w:numPr>
          <w:ilvl w:val="0"/>
          <w:numId w:val="16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C9408A">
        <w:rPr>
          <w:b/>
          <w:bCs/>
          <w:sz w:val="24"/>
          <w:szCs w:val="24"/>
        </w:rPr>
        <w:t>Пат.</w:t>
      </w:r>
      <w:r w:rsidRPr="00C9408A">
        <w:rPr>
          <w:sz w:val="24"/>
          <w:szCs w:val="24"/>
        </w:rPr>
        <w:t xml:space="preserve"> 2443939 РФ. Устройство для регенеративного подогрева конденсата / В.Ф. Ермолов, Ю.Г. Сухоруков, Н.Н. Новик // </w:t>
      </w:r>
      <w:r w:rsidRPr="00C9408A">
        <w:rPr>
          <w:iCs/>
          <w:sz w:val="24"/>
          <w:szCs w:val="24"/>
        </w:rPr>
        <w:t>Изобретения. Полезные модели.</w:t>
      </w:r>
      <w:r w:rsidRPr="00C9408A">
        <w:rPr>
          <w:sz w:val="24"/>
          <w:szCs w:val="24"/>
        </w:rPr>
        <w:t xml:space="preserve"> 2012. № 6.</w:t>
      </w:r>
    </w:p>
    <w:sectPr w:rsidR="00E2790C" w:rsidRPr="00C9408A" w:rsidSect="00C9408A">
      <w:footerReference w:type="default" r:id="rId8"/>
      <w:footerReference w:type="first" r:id="rId9"/>
      <w:type w:val="continuous"/>
      <w:pgSz w:w="11907" w:h="16834" w:code="9"/>
      <w:pgMar w:top="1418" w:right="1418" w:bottom="1276" w:left="1418" w:header="0" w:footer="385" w:gutter="0"/>
      <w:paperSrc w:first="1" w:other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45172" w14:textId="77777777" w:rsidR="006F3719" w:rsidRDefault="006F3719" w:rsidP="00C9408A">
      <w:r>
        <w:separator/>
      </w:r>
    </w:p>
  </w:endnote>
  <w:endnote w:type="continuationSeparator" w:id="0">
    <w:p w14:paraId="4F65CCAC" w14:textId="77777777" w:rsidR="006F3719" w:rsidRDefault="006F3719" w:rsidP="00C9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49982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BE95821" w14:textId="513A9C6A" w:rsidR="00C9408A" w:rsidRPr="00C9408A" w:rsidRDefault="00C9408A">
        <w:pPr>
          <w:pStyle w:val="a5"/>
          <w:jc w:val="right"/>
          <w:rPr>
            <w:sz w:val="22"/>
          </w:rPr>
        </w:pPr>
        <w:r w:rsidRPr="00C9408A">
          <w:rPr>
            <w:sz w:val="22"/>
          </w:rPr>
          <w:fldChar w:fldCharType="begin"/>
        </w:r>
        <w:r w:rsidRPr="00C9408A">
          <w:rPr>
            <w:sz w:val="22"/>
          </w:rPr>
          <w:instrText>PAGE   \* MERGEFORMAT</w:instrText>
        </w:r>
        <w:r w:rsidRPr="00C9408A">
          <w:rPr>
            <w:sz w:val="22"/>
          </w:rPr>
          <w:fldChar w:fldCharType="separate"/>
        </w:r>
        <w:r w:rsidR="0031403B">
          <w:rPr>
            <w:noProof/>
            <w:sz w:val="22"/>
          </w:rPr>
          <w:t>3</w:t>
        </w:r>
        <w:r w:rsidRPr="00C9408A">
          <w:rPr>
            <w:sz w:val="22"/>
          </w:rPr>
          <w:fldChar w:fldCharType="end"/>
        </w:r>
      </w:p>
    </w:sdtContent>
  </w:sdt>
  <w:p w14:paraId="66084B50" w14:textId="77777777" w:rsidR="00C9408A" w:rsidRDefault="00C940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17247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622DBD83" w14:textId="270B7136" w:rsidR="00C9408A" w:rsidRPr="00C9408A" w:rsidRDefault="00C9408A">
        <w:pPr>
          <w:pStyle w:val="a5"/>
          <w:jc w:val="right"/>
          <w:rPr>
            <w:sz w:val="22"/>
          </w:rPr>
        </w:pPr>
        <w:r w:rsidRPr="00C9408A">
          <w:rPr>
            <w:sz w:val="22"/>
          </w:rPr>
          <w:fldChar w:fldCharType="begin"/>
        </w:r>
        <w:r w:rsidRPr="00C9408A">
          <w:rPr>
            <w:sz w:val="22"/>
          </w:rPr>
          <w:instrText>PAGE   \* MERGEFORMAT</w:instrText>
        </w:r>
        <w:r w:rsidRPr="00C9408A">
          <w:rPr>
            <w:sz w:val="22"/>
          </w:rPr>
          <w:fldChar w:fldCharType="separate"/>
        </w:r>
        <w:r w:rsidR="0031403B">
          <w:rPr>
            <w:noProof/>
            <w:sz w:val="22"/>
          </w:rPr>
          <w:t>1</w:t>
        </w:r>
        <w:r w:rsidRPr="00C9408A">
          <w:rPr>
            <w:sz w:val="22"/>
          </w:rPr>
          <w:fldChar w:fldCharType="end"/>
        </w:r>
      </w:p>
    </w:sdtContent>
  </w:sdt>
  <w:p w14:paraId="3FDB7BEB" w14:textId="77777777" w:rsidR="00C9408A" w:rsidRDefault="00C940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F01F2" w14:textId="77777777" w:rsidR="006F3719" w:rsidRDefault="006F3719" w:rsidP="00C9408A">
      <w:r>
        <w:separator/>
      </w:r>
    </w:p>
  </w:footnote>
  <w:footnote w:type="continuationSeparator" w:id="0">
    <w:p w14:paraId="445698C9" w14:textId="77777777" w:rsidR="006F3719" w:rsidRDefault="006F3719" w:rsidP="00C9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0B2"/>
    <w:multiLevelType w:val="singleLevel"/>
    <w:tmpl w:val="C2DC2B16"/>
    <w:lvl w:ilvl="0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cs="Times New Roman" w:hint="default"/>
      </w:rPr>
    </w:lvl>
  </w:abstractNum>
  <w:abstractNum w:abstractNumId="1" w15:restartNumberingAfterBreak="0">
    <w:nsid w:val="098D2651"/>
    <w:multiLevelType w:val="multilevel"/>
    <w:tmpl w:val="5C6CFFDC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701C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071AC9"/>
    <w:multiLevelType w:val="hybridMultilevel"/>
    <w:tmpl w:val="F5ECFDAE"/>
    <w:lvl w:ilvl="0" w:tplc="122A31D4">
      <w:start w:val="1"/>
      <w:numFmt w:val="decimal"/>
      <w:pStyle w:val="31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821957"/>
    <w:multiLevelType w:val="singleLevel"/>
    <w:tmpl w:val="8BC2F87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" w15:restartNumberingAfterBreak="0">
    <w:nsid w:val="1AF907E2"/>
    <w:multiLevelType w:val="hybridMultilevel"/>
    <w:tmpl w:val="35766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939D9"/>
    <w:multiLevelType w:val="singleLevel"/>
    <w:tmpl w:val="CDF82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</w:abstractNum>
  <w:abstractNum w:abstractNumId="7" w15:restartNumberingAfterBreak="0">
    <w:nsid w:val="1F58206E"/>
    <w:multiLevelType w:val="singleLevel"/>
    <w:tmpl w:val="AA1EB212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</w:abstractNum>
  <w:abstractNum w:abstractNumId="8" w15:restartNumberingAfterBreak="0">
    <w:nsid w:val="21FF7019"/>
    <w:multiLevelType w:val="singleLevel"/>
    <w:tmpl w:val="2AEAD9E8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28E33AA5"/>
    <w:multiLevelType w:val="singleLevel"/>
    <w:tmpl w:val="CAF6E83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83A2891"/>
    <w:multiLevelType w:val="singleLevel"/>
    <w:tmpl w:val="743A5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1" w15:restartNumberingAfterBreak="0">
    <w:nsid w:val="63EE7DD6"/>
    <w:multiLevelType w:val="hybridMultilevel"/>
    <w:tmpl w:val="B500583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FF61BE"/>
    <w:multiLevelType w:val="hybridMultilevel"/>
    <w:tmpl w:val="0BE47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631633"/>
    <w:multiLevelType w:val="singleLevel"/>
    <w:tmpl w:val="BD04CBB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</w:rPr>
    </w:lvl>
  </w:abstractNum>
  <w:abstractNum w:abstractNumId="14" w15:restartNumberingAfterBreak="0">
    <w:nsid w:val="73B940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4"/>
  </w:num>
  <w:num w:numId="11">
    <w:abstractNumId w:val="2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1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31"/>
    <w:rsid w:val="000C1150"/>
    <w:rsid w:val="000E77B4"/>
    <w:rsid w:val="000F7F9C"/>
    <w:rsid w:val="00153B8A"/>
    <w:rsid w:val="001828F3"/>
    <w:rsid w:val="001E3A53"/>
    <w:rsid w:val="0023314A"/>
    <w:rsid w:val="00280B3E"/>
    <w:rsid w:val="002E453F"/>
    <w:rsid w:val="002F545A"/>
    <w:rsid w:val="002F5AC8"/>
    <w:rsid w:val="0031403B"/>
    <w:rsid w:val="0034479D"/>
    <w:rsid w:val="003748F6"/>
    <w:rsid w:val="003C381A"/>
    <w:rsid w:val="003F7885"/>
    <w:rsid w:val="00405007"/>
    <w:rsid w:val="00490EFF"/>
    <w:rsid w:val="004B7424"/>
    <w:rsid w:val="004E79AA"/>
    <w:rsid w:val="0053430C"/>
    <w:rsid w:val="00552898"/>
    <w:rsid w:val="0058652C"/>
    <w:rsid w:val="005A4A85"/>
    <w:rsid w:val="005D1BDA"/>
    <w:rsid w:val="005D7E37"/>
    <w:rsid w:val="00677AED"/>
    <w:rsid w:val="006A10EE"/>
    <w:rsid w:val="006B14EB"/>
    <w:rsid w:val="006F3112"/>
    <w:rsid w:val="006F3719"/>
    <w:rsid w:val="007635E0"/>
    <w:rsid w:val="00767A27"/>
    <w:rsid w:val="00825431"/>
    <w:rsid w:val="00845924"/>
    <w:rsid w:val="00875FD1"/>
    <w:rsid w:val="008D37A5"/>
    <w:rsid w:val="008E0743"/>
    <w:rsid w:val="008E4127"/>
    <w:rsid w:val="009024BE"/>
    <w:rsid w:val="00914E74"/>
    <w:rsid w:val="009745B6"/>
    <w:rsid w:val="009B7D64"/>
    <w:rsid w:val="009C0706"/>
    <w:rsid w:val="009F7ABC"/>
    <w:rsid w:val="00A039BA"/>
    <w:rsid w:val="00A10901"/>
    <w:rsid w:val="00A16552"/>
    <w:rsid w:val="00A412A0"/>
    <w:rsid w:val="00A54286"/>
    <w:rsid w:val="00AA2A72"/>
    <w:rsid w:val="00AC2AE0"/>
    <w:rsid w:val="00AF4D41"/>
    <w:rsid w:val="00B07E4A"/>
    <w:rsid w:val="00B6229F"/>
    <w:rsid w:val="00B92D61"/>
    <w:rsid w:val="00BC7DF7"/>
    <w:rsid w:val="00BE26A4"/>
    <w:rsid w:val="00C45D6E"/>
    <w:rsid w:val="00C53B50"/>
    <w:rsid w:val="00C81824"/>
    <w:rsid w:val="00C9408A"/>
    <w:rsid w:val="00CB09A6"/>
    <w:rsid w:val="00CB2A9B"/>
    <w:rsid w:val="00CC0F73"/>
    <w:rsid w:val="00D32769"/>
    <w:rsid w:val="00D77943"/>
    <w:rsid w:val="00D909D1"/>
    <w:rsid w:val="00DA7355"/>
    <w:rsid w:val="00E00D83"/>
    <w:rsid w:val="00E2790C"/>
    <w:rsid w:val="00E305FB"/>
    <w:rsid w:val="00E65BC2"/>
    <w:rsid w:val="00E679D4"/>
    <w:rsid w:val="00EE746F"/>
    <w:rsid w:val="00F118AC"/>
    <w:rsid w:val="00F31AE4"/>
    <w:rsid w:val="00F36F38"/>
    <w:rsid w:val="00F47542"/>
    <w:rsid w:val="00F74660"/>
    <w:rsid w:val="00F8393B"/>
    <w:rsid w:val="00F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221A5D"/>
  <w14:defaultImageDpi w14:val="0"/>
  <w15:docId w15:val="{17517475-303E-4286-8752-DC15A9D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  <w:ind w:firstLine="397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 w:after="120"/>
      <w:ind w:firstLine="0"/>
      <w:outlineLvl w:val="0"/>
    </w:pPr>
    <w:rPr>
      <w:b/>
      <w:bCs/>
      <w:caps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480" w:lineRule="auto"/>
      <w:ind w:left="567" w:firstLine="0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227"/>
      </w:tabs>
      <w:ind w:firstLine="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customStyle="1" w:styleId="11">
    <w:name w:val="Обычный1"/>
    <w:uiPriority w:val="99"/>
    <w:pPr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pPr>
      <w:spacing w:line="360" w:lineRule="auto"/>
      <w:ind w:left="510" w:firstLine="567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pPr>
      <w:spacing w:line="360" w:lineRule="auto"/>
      <w:ind w:left="510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8"/>
      <w:szCs w:val="28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360" w:lineRule="auto"/>
      <w:ind w:firstLine="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lock Text"/>
    <w:basedOn w:val="a"/>
    <w:uiPriority w:val="99"/>
    <w:pPr>
      <w:ind w:left="1134" w:right="1700" w:firstLine="0"/>
      <w:jc w:val="center"/>
    </w:pPr>
    <w:rPr>
      <w:b/>
      <w:bCs/>
      <w:caps/>
      <w:sz w:val="20"/>
      <w:szCs w:val="20"/>
    </w:rPr>
  </w:style>
  <w:style w:type="paragraph" w:styleId="ab">
    <w:name w:val="Title"/>
    <w:basedOn w:val="a"/>
    <w:link w:val="ac"/>
    <w:uiPriority w:val="99"/>
    <w:qFormat/>
    <w:pPr>
      <w:widowControl w:val="0"/>
      <w:spacing w:line="480" w:lineRule="auto"/>
      <w:ind w:firstLine="0"/>
      <w:jc w:val="center"/>
    </w:pPr>
    <w:rPr>
      <w:b/>
      <w:bCs/>
      <w:caps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eqv">
    <w:name w:val="eqv"/>
    <w:basedOn w:val="a"/>
    <w:uiPriority w:val="99"/>
    <w:pPr>
      <w:widowControl w:val="0"/>
      <w:tabs>
        <w:tab w:val="right" w:pos="9072"/>
      </w:tabs>
      <w:spacing w:line="480" w:lineRule="auto"/>
      <w:ind w:firstLine="284"/>
    </w:pPr>
  </w:style>
  <w:style w:type="paragraph" w:styleId="ad">
    <w:name w:val="Signature"/>
    <w:basedOn w:val="a"/>
    <w:link w:val="ae"/>
    <w:uiPriority w:val="99"/>
    <w:pPr>
      <w:spacing w:line="360" w:lineRule="auto"/>
      <w:ind w:left="4252" w:firstLine="284"/>
      <w:jc w:val="left"/>
    </w:pPr>
    <w:rPr>
      <w:sz w:val="24"/>
      <w:szCs w:val="24"/>
    </w:rPr>
  </w:style>
  <w:style w:type="character" w:customStyle="1" w:styleId="ae">
    <w:name w:val="Подпись Знак"/>
    <w:basedOn w:val="a0"/>
    <w:link w:val="ad"/>
    <w:uiPriority w:val="99"/>
    <w:semiHidden/>
    <w:locked/>
    <w:rPr>
      <w:rFonts w:cs="Times New Roman"/>
      <w:sz w:val="28"/>
      <w:szCs w:val="28"/>
    </w:rPr>
  </w:style>
  <w:style w:type="paragraph" w:styleId="af">
    <w:name w:val="Document Map"/>
    <w:basedOn w:val="a"/>
    <w:link w:val="af0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1">
    <w:name w:val="Список_литературы_стс31"/>
    <w:basedOn w:val="a"/>
    <w:link w:val="310"/>
    <w:rsid w:val="00F31AE4"/>
    <w:pPr>
      <w:numPr>
        <w:numId w:val="12"/>
      </w:numPr>
      <w:autoSpaceDE/>
      <w:autoSpaceDN/>
    </w:pPr>
    <w:rPr>
      <w:sz w:val="16"/>
      <w:szCs w:val="20"/>
    </w:rPr>
  </w:style>
  <w:style w:type="character" w:customStyle="1" w:styleId="310">
    <w:name w:val="Список_литературы_стс31 Знак"/>
    <w:basedOn w:val="a0"/>
    <w:link w:val="31"/>
    <w:locked/>
    <w:rsid w:val="00F31AE4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80B3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0B3E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BE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F0DB2-6694-4ADA-A293-6982C132F49A}"/>
</file>

<file path=customXml/itemProps2.xml><?xml version="1.0" encoding="utf-8"?>
<ds:datastoreItem xmlns:ds="http://schemas.openxmlformats.org/officeDocument/2006/customXml" ds:itemID="{34A1C95D-6931-46F0-A12E-DB2F275F71E0}"/>
</file>

<file path=customXml/itemProps3.xml><?xml version="1.0" encoding="utf-8"?>
<ds:datastoreItem xmlns:ds="http://schemas.openxmlformats.org/officeDocument/2006/customXml" ds:itemID="{9E2E59CC-0A9F-4F87-8695-9B640B37C3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ТРЕТИЙ КРИЗИС ТЕПЛООТДАЧИ ПРИ СТУПЕНЧАТОМ ТЕПЛОПОДВОДЕ</vt:lpstr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ТРЕТИЙ КРИЗИС ТЕПЛООТДАЧИ ПРИ СТУПЕНЧАТОМ ТЕПЛОПОДВОДЕ</dc:title>
  <dc:subject/>
  <dc:creator>Avksentyk B.P</dc:creator>
  <cp:keywords/>
  <dc:description/>
  <cp:lastModifiedBy>Егоров Михаил Юрьевич</cp:lastModifiedBy>
  <cp:revision>4</cp:revision>
  <cp:lastPrinted>2015-04-14T16:08:00Z</cp:lastPrinted>
  <dcterms:created xsi:type="dcterms:W3CDTF">2026-03-16T06:47:00Z</dcterms:created>
  <dcterms:modified xsi:type="dcterms:W3CDTF">2026-03-16T06:57:00Z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